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What's changed recently</w:t>
        </w:r>
      </w:hyperlink>
    </w:p>
    <w:p>
      <w:pPr>
        <w:pStyle w:val="Compact"/>
        <w:numPr>
          <w:ilvl w:val="2"/>
          <w:numId w:val="1006"/>
        </w:numPr>
      </w:pPr>
      <w:hyperlink w:anchor="toc28">
        <w:r>
          <w:rPr>
            <w:rStyle w:val="Hyperlink"/>
          </w:rPr>
          <w:t xml:space="preserve">TL;DR — the 30-second version</w:t>
        </w:r>
      </w:hyperlink>
    </w:p>
    <w:p>
      <w:pPr>
        <w:pStyle w:val="Compact"/>
        <w:numPr>
          <w:ilvl w:val="2"/>
          <w:numId w:val="1006"/>
        </w:numPr>
      </w:pPr>
      <w:hyperlink w:anchor="toc29">
        <w:r>
          <w:rPr>
            <w:rStyle w:val="Hyperlink"/>
          </w:rPr>
          <w:t xml:space="preserve">Why this matters — the audience the Studio serves</w:t>
        </w:r>
      </w:hyperlink>
    </w:p>
    <w:p>
      <w:pPr>
        <w:pStyle w:val="Compact"/>
        <w:numPr>
          <w:ilvl w:val="2"/>
          <w:numId w:val="1006"/>
        </w:numPr>
      </w:pPr>
      <w:hyperlink w:anchor="toc30">
        <w:r>
          <w:rPr>
            <w:rStyle w:val="Hyperlink"/>
          </w:rPr>
          <w:t xml:space="preserve">How to read this document</w:t>
        </w:r>
      </w:hyperlink>
    </w:p>
    <w:p>
      <w:pPr>
        <w:pStyle w:val="Compact"/>
        <w:numPr>
          <w:ilvl w:val="2"/>
          <w:numId w:val="1006"/>
        </w:numPr>
      </w:pPr>
      <w:hyperlink w:anchor="toc31">
        <w:r>
          <w:rPr>
            <w:rStyle w:val="Hyperlink"/>
          </w:rPr>
          <w:t xml:space="preserve">1. What the Studio is</w:t>
        </w:r>
      </w:hyperlink>
    </w:p>
    <w:p>
      <w:pPr>
        <w:pStyle w:val="Compact"/>
        <w:numPr>
          <w:ilvl w:val="2"/>
          <w:numId w:val="1006"/>
        </w:numPr>
      </w:pPr>
      <w:hyperlink w:anchor="toc32">
        <w:r>
          <w:rPr>
            <w:rStyle w:val="Hyperlink"/>
          </w:rPr>
          <w:t xml:space="preserve">2. The real scope behind "post an article"</w:t>
        </w:r>
      </w:hyperlink>
    </w:p>
    <w:p>
      <w:pPr>
        <w:pStyle w:val="Compact"/>
        <w:numPr>
          <w:ilvl w:val="2"/>
          <w:numId w:val="1006"/>
        </w:numPr>
      </w:pPr>
      <w:hyperlink w:anchor="toc33">
        <w:r>
          <w:rPr>
            <w:rStyle w:val="Hyperlink"/>
          </w:rPr>
          <w:t xml:space="preserve">3. What's working today</w:t>
        </w:r>
      </w:hyperlink>
    </w:p>
    <w:p>
      <w:pPr>
        <w:pStyle w:val="Compact"/>
        <w:numPr>
          <w:ilvl w:val="2"/>
          <w:numId w:val="1006"/>
        </w:numPr>
      </w:pPr>
      <w:hyperlink w:anchor="toc34">
        <w:r>
          <w:rPr>
            <w:rStyle w:val="Hyperlink"/>
          </w:rPr>
          <w:t xml:space="preserve">4. What's still ahead</w:t>
        </w:r>
      </w:hyperlink>
    </w:p>
    <w:p>
      <w:pPr>
        <w:pStyle w:val="Compact"/>
        <w:numPr>
          <w:ilvl w:val="2"/>
          <w:numId w:val="1006"/>
        </w:numPr>
      </w:pPr>
      <w:hyperlink w:anchor="toc35">
        <w:r>
          <w:rPr>
            <w:rStyle w:val="Hyperlink"/>
          </w:rPr>
          <w:t xml:space="preserve">5. How we work — and why the result is dependable</w:t>
        </w:r>
      </w:hyperlink>
    </w:p>
    <w:p>
      <w:pPr>
        <w:pStyle w:val="Compact"/>
        <w:numPr>
          <w:ilvl w:val="2"/>
          <w:numId w:val="1006"/>
        </w:numPr>
      </w:pPr>
      <w:hyperlink w:anchor="toc36">
        <w:r>
          <w:rPr>
            <w:rStyle w:val="Hyperlink"/>
          </w:rPr>
          <w:t xml:space="preserve">6. Security &amp; independent audit</w:t>
        </w:r>
      </w:hyperlink>
    </w:p>
    <w:p>
      <w:pPr>
        <w:pStyle w:val="Compact"/>
        <w:numPr>
          <w:ilvl w:val="2"/>
          <w:numId w:val="1006"/>
        </w:numPr>
      </w:pPr>
      <w:hyperlink w:anchor="toc37">
        <w:r>
          <w:rPr>
            <w:rStyle w:val="Hyperlink"/>
          </w:rPr>
          <w:t xml:space="preserve">7. Appendix — Developer reference (technical detail)</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v0.8.5</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2026-07-17 (v0.8.5)</w:t>
            </w:r>
            <w:r>
              <w:t xml:space="preserve"> </w:t>
            </w:r>
            <w:r>
              <w:t xml:space="preserve">— see</w:t>
            </w:r>
            <w:r>
              <w:t xml:space="preserve"> </w:t>
            </w:r>
            <w:r>
              <w:rPr>
                <w:b/>
                <w:bCs/>
              </w:rPr>
              <w:t xml:space="preserve">What's changed recently</w:t>
            </w:r>
            <w:r>
              <w:t xml:space="preserve">, immediately below, for the dated digest (kept at the top of this document, newest first)</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879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What's changed recently</w:t>
      </w:r>
    </w:p>
    <w:p>
      <w:pPr>
        <w:pStyle w:val="FirstParagraph"/>
      </w:pPr>
      <w:r>
        <w:t xml:space="preserve">A short digest for managers,</w:t>
      </w:r>
      <w:r>
        <w:t xml:space="preserve"> </w:t>
      </w:r>
      <w:r>
        <w:rPr>
          <w:b/>
          <w:bCs/>
        </w:rPr>
        <w:t xml:space="preserve">newest first, kept at the top of this document</w:t>
      </w:r>
      <w:r>
        <w:t xml:space="preserve"> </w:t>
      </w:r>
      <w:r>
        <w:t xml:space="preserve">so the</w:t>
      </w:r>
      <w:r>
        <w:t xml:space="preserve"> </w:t>
      </w:r>
      <w:r>
        <w:t xml:space="preserve">latest state is the first thing you see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18"/>
        </w:numPr>
      </w:pPr>
      <w:r>
        <w:rPr>
          <w:b/>
          <w:bCs/>
        </w:rPr>
        <w:t xml:space="preserve">2026-07-17 — Changelog &amp; Roadmap now readable inside the Studio (v0.8.5).</w:t>
      </w:r>
      <w:r>
        <w:t xml:space="preserve"> </w:t>
      </w:r>
      <w:r>
        <w:t xml:space="preserve">The</w:t>
      </w:r>
      <w:r>
        <w:t xml:space="preserve"> </w:t>
      </w:r>
      <w:r>
        <w:t xml:space="preserve">bottom status bar's Changelog and Roadmap links open in-app pages rendering the</w:t>
      </w:r>
      <w:r>
        <w:t xml:space="preserve"> </w:t>
      </w:r>
      <w:r>
        <w:t xml:space="preserve">repository's own records — no GitHub account or repository access needed (the</w:t>
      </w:r>
      <w:r>
        <w:t xml:space="preserve"> </w:t>
      </w:r>
      <w:r>
        <w:t xml:space="preserve">repository is private while in development; the old links produced "not found" errors</w:t>
      </w:r>
      <w:r>
        <w:t xml:space="preserve"> </w:t>
      </w:r>
      <w:r>
        <w:t xml:space="preserve">for managers). Like this document's own Spec &amp; status page, they re-render from the</w:t>
      </w:r>
      <w:r>
        <w:t xml:space="preserve"> </w:t>
      </w:r>
      <w:r>
        <w:t xml:space="preserve">repository on every deploy, so they always match the running build. This document's</w:t>
      </w:r>
      <w:r>
        <w:t xml:space="preserve"> </w:t>
      </w:r>
      <w:r>
        <w:t xml:space="preserve">dated digest also moved here, to the top, so the latest changes are the first thing a</w:t>
      </w:r>
      <w:r>
        <w:t xml:space="preserve"> </w:t>
      </w:r>
      <w:r>
        <w:t xml:space="preserve">reader sees.</w:t>
      </w:r>
    </w:p>
    <w:p>
      <w:pPr>
        <w:pStyle w:val="Compact"/>
        <w:numPr>
          <w:ilvl w:val="0"/>
          <w:numId w:val="1018"/>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with the official ICJIA logo (the image shown when a Studio link is shared), and</w:t>
      </w:r>
      <w:r>
        <w:t xml:space="preserve"> </w:t>
      </w:r>
      <w:r>
        <w:t xml:space="preserve">the security audit's between-passes delta log was brought current with a fresh</w:t>
      </w:r>
      <w:r>
        <w:t xml:space="preserve"> </w:t>
      </w:r>
      <w:r>
        <w:t xml:space="preserve">dependency-vulnerability re-check (still 0 critical / high / moderate).</w:t>
      </w:r>
    </w:p>
    <w:p>
      <w:pPr>
        <w:pStyle w:val="Compact"/>
        <w:numPr>
          <w:ilvl w:val="0"/>
          <w:numId w:val="1018"/>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18"/>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18"/>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18"/>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18"/>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18"/>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18"/>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bookmarkEnd w:id="42"/>
    <w:bookmarkStart w:id="43" w:name="toc28"/>
    <w:p>
      <w:pPr>
        <w:pStyle w:val="Heading3"/>
      </w:pPr>
      <w:r>
        <w:t xml:space="preserve">TL;DR — the 30-second version</w:t>
      </w:r>
    </w:p>
    <w:p>
      <w:pPr>
        <w:pStyle w:val="Compact"/>
        <w:numPr>
          <w:ilvl w:val="0"/>
          <w:numId w:val="1019"/>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9"/>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9"/>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9"/>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9"/>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9"/>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3"/>
    <w:bookmarkStart w:id="47" w:name="toc29"/>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4"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4"/>
    <w:bookmarkStart w:id="45"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5"/>
    <w:bookmarkStart w:id="46"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6"/>
    <w:bookmarkEnd w:id="47"/>
    <w:bookmarkStart w:id="48" w:name="toc30"/>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20"/>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20"/>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1"/>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1"/>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1"/>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8"/>
    <w:bookmarkStart w:id="49" w:name="toc31"/>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9"/>
    <w:bookmarkStart w:id="57" w:name="toc32"/>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50"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50"/>
    <w:bookmarkStart w:id="51"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1"/>
    <w:bookmarkStart w:id="52"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2"/>
    <w:bookmarkStart w:id="53"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3"/>
    <w:bookmarkStart w:id="54"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4"/>
    <w:bookmarkStart w:id="55"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5"/>
    <w:bookmarkStart w:id="56"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6"/>
    <w:bookmarkEnd w:id="57"/>
    <w:bookmarkStart w:id="67" w:name="toc33"/>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8"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8"/>
    <w:bookmarkStart w:id="59"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2"/>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2"/>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9"/>
    <w:bookmarkStart w:id="60"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60"/>
    <w:bookmarkStart w:id="61"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1"/>
    <w:bookmarkStart w:id="62"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3"/>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3"/>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2"/>
    <w:bookmarkStart w:id="63" w:name="f-finding-and-managing-content"/>
    <w:p>
      <w:pPr>
        <w:pStyle w:val="Heading4"/>
      </w:pPr>
      <w:r>
        <w:t xml:space="preserve">(f) Finding and managing content</w:t>
      </w:r>
    </w:p>
    <w:p>
      <w:pPr>
        <w:pStyle w:val="Compact"/>
        <w:numPr>
          <w:ilvl w:val="0"/>
          <w:numId w:val="1024"/>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4"/>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4"/>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4"/>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3"/>
    <w:bookmarkStart w:id="64"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4"/>
    <w:bookmarkStart w:id="65"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5"/>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5"/>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5"/>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5"/>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5"/>
    <w:bookmarkStart w:id="66"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6"/>
    <w:bookmarkEnd w:id="67"/>
    <w:bookmarkStart w:id="68" w:name="toc34"/>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8"/>
    <w:bookmarkStart w:id="70" w:name="toc35"/>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6"/>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6"/>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6"/>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9"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7"/>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7"/>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7"/>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9"/>
    <w:bookmarkEnd w:id="70"/>
    <w:bookmarkStart w:id="71" w:name="toc36"/>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8"/>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8"/>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8"/>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1"/>
    <w:bookmarkStart w:id="79" w:name="toc37"/>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2"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2"/>
    <w:bookmarkStart w:id="73"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3"/>
    <w:bookmarkStart w:id="74"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4"/>
    <w:bookmarkStart w:id="75" w:name="Xa4364ba6f993b82835569311b76d500d2d3a1be"/>
    <w:p>
      <w:pPr>
        <w:pStyle w:val="Heading4"/>
      </w:pPr>
      <w:r>
        <w:t xml:space="preserve">7.4 What is built, in technical terms</w:t>
      </w:r>
    </w:p>
    <w:p>
      <w:pPr>
        <w:numPr>
          <w:ilvl w:val="0"/>
          <w:numId w:val="1029"/>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9"/>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9"/>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9"/>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5"/>
    <w:bookmarkStart w:id="76"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30"/>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30"/>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30"/>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30"/>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6"/>
    <w:bookmarkStart w:id="77"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7"/>
    <w:bookmarkStart w:id="78"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v0.8.5</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8"/>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0.8.4),</w:t>
      </w:r>
      <w:r>
        <w:t xml:space="preserve"> </w:t>
      </w:r>
      <w:r>
        <w:t xml:space="preserve">continuing the trail from the 2026-07-11 entries below:</w:t>
      </w:r>
    </w:p>
    <w:p>
      <w:pPr>
        <w:pStyle w:val="Compact"/>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pStyle w:val="Compact"/>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pStyle w:val="Compact"/>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pStyle w:val="Compact"/>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pStyle w:val="Compact"/>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pStyle w:val="Compact"/>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pStyle w:val="Compact"/>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pStyle w:val="Compact"/>
        <w:numPr>
          <w:ilvl w:val="0"/>
          <w:numId w:val="1031"/>
        </w:numPr>
      </w:pPr>
      <w:r>
        <w:rPr>
          <w:b/>
          <w:bCs/>
        </w:rPr>
        <w:t xml:space="preserve">Search/AI-exclusion posture re-affirmed (2026-07-17).</w:t>
      </w:r>
      <w:r>
        <w:t xml:space="preserve"> </w:t>
      </w:r>
      <w:r>
        <w:t xml:space="preserve">An external SEO/AI-readiness</w:t>
      </w:r>
      <w:r>
        <w:t xml:space="preserve"> </w:t>
      </w:r>
      <w:r>
        <w:t xml:space="preserve">scan (MetaPeek) flagged the deny-all</w:t>
      </w:r>
      <w:r>
        <w:t xml:space="preserve"> </w:t>
      </w:r>
      <w:r>
        <w:rPr>
          <w:rStyle w:val="VerbatimChar"/>
        </w:rPr>
        <w:t xml:space="preserve">robots.txt</w:t>
      </w:r>
      <w:r>
        <w:t xml:space="preserve"> </w:t>
      </w:r>
      <w:r>
        <w:t xml:space="preserve">(8 AI bots blocked) and missing</w:t>
      </w:r>
      <w:r>
        <w:t xml:space="preserve"> </w:t>
      </w:r>
      <w:r>
        <w:rPr>
          <w:rStyle w:val="VerbatimChar"/>
        </w:rPr>
        <w:t xml:space="preserve">llms.txt</w:t>
      </w:r>
      <w:r>
        <w:t xml:space="preserve">; the user explicitly chose to KEEP the exclusion — the runbook-§3 hardening</w:t>
      </w:r>
      <w:r>
        <w:t xml:space="preserve"> </w:t>
      </w:r>
      <w:r>
        <w:t xml:space="preserve">stands, now with an inline "deliberate scorecard failures — do not fix" note so the</w:t>
      </w:r>
      <w:r>
        <w:t xml:space="preserve"> </w:t>
      </w:r>
      <w:r>
        <w:t xml:space="preserve">finding can't be 'helpfully' reversed later. The scan's legitimate metadata items</w:t>
      </w:r>
      <w:r>
        <w:t xml:space="preserve"> </w:t>
      </w:r>
      <w:r>
        <w:t xml:space="preserve">(canonical, author, JSON-LD, freshness) shipped in 0.8.5 as inert head markup.</w:t>
      </w:r>
    </w:p>
    <w:p>
      <w:pPr>
        <w:pStyle w:val="Compact"/>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pStyle w:val="Compact"/>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p>
      <w:pPr>
        <w:pStyle w:val="BlockText"/>
      </w:pPr>
      <w:r>
        <w:rPr>
          <w:b/>
          <w:bCs/>
        </w:rPr>
        <w:t xml:space="preserve">Deliberate scorecard "failures" — do not "fix" (re-affirmed 2026-07-17).</w:t>
      </w:r>
      <w:r>
        <w:t xml:space="preserve"> </w:t>
      </w:r>
      <w:r>
        <w:t xml:space="preserve">SEO / AI-readiness</w:t>
      </w:r>
      <w:r>
        <w:t xml:space="preserve"> </w:t>
      </w:r>
      <w:r>
        <w:t xml:space="preserve">checkers (e.g. MetaPeek) will report two FAILs against this site forever:</w:t>
      </w:r>
      <w:r>
        <w:t xml:space="preserve"> </w:t>
      </w:r>
      <w:r>
        <w:rPr>
          <w:i/>
          <w:iCs/>
        </w:rPr>
        <w:t xml:space="preserve">"robots.txt blocks</w:t>
      </w:r>
      <w:r>
        <w:rPr>
          <w:i/>
          <w:iCs/>
        </w:rPr>
        <w:t xml:space="preserve"> </w:t>
      </w:r>
      <w:r>
        <w:rPr>
          <w:i/>
          <w:iCs/>
        </w:rPr>
        <w:t xml:space="preserve">AI bots"</w:t>
      </w:r>
      <w:r>
        <w:t xml:space="preserve"> </w:t>
      </w:r>
      <w:r>
        <w:t xml:space="preserve">and</w:t>
      </w:r>
      <w:r>
        <w:t xml:space="preserve"> </w:t>
      </w:r>
      <w:r>
        <w:rPr>
          <w:i/>
          <w:iCs/>
        </w:rPr>
        <w:t xml:space="preserve">"no llms.txt."</w:t>
      </w:r>
      <w:r>
        <w:t xml:space="preserve"> </w:t>
      </w:r>
      <w:r>
        <w:t xml:space="preserve">Both are THIS hardening working as designed — the Studio is an</w:t>
      </w:r>
      <w:r>
        <w:t xml:space="preserve"> </w:t>
      </w:r>
      <w:r>
        <w:t xml:space="preserve">internal tool whose demo is shared by link, not meant to be indexed by search engines or</w:t>
      </w:r>
      <w:r>
        <w:t xml:space="preserve"> </w:t>
      </w:r>
      <w:r>
        <w:t xml:space="preserve">ingested/cited by AI systems. The 2026-07-17 assessment closed every other item (canonical,</w:t>
      </w:r>
      <w:r>
        <w:t xml:space="preserve"> </w:t>
      </w:r>
      <w:r>
        <w:t xml:space="preserve">author, JSON-LD, freshness — inert head metadata for the humans a shared link reaches) and the</w:t>
      </w:r>
      <w:r>
        <w:t xml:space="preserve"> </w:t>
      </w:r>
      <w:r>
        <w:t xml:space="preserve">user explicitly chose to keep the exclusion. Unblocking AI bots or adding an llms.txt is a</w:t>
      </w:r>
      <w:r>
        <w:t xml:space="preserve"> </w:t>
      </w:r>
      <w:r>
        <w:t xml:space="preserve">posture decision, not a metadata fix — if ever wanted, change this section, the deny-all</w:t>
      </w:r>
      <w:r>
        <w:t xml:space="preserve"> </w:t>
      </w:r>
      <w:r>
        <w:rPr>
          <w:rStyle w:val="VerbatimChar"/>
        </w:rPr>
        <w:t xml:space="preserve">public/robots.txt</w:t>
      </w:r>
      <w:r>
        <w:t xml:space="preserve">, and the</w:t>
      </w:r>
      <w:r>
        <w:t xml:space="preserve"> </w:t>
      </w:r>
      <w:r>
        <w:rPr>
          <w:rStyle w:val="VerbatimChar"/>
        </w:rPr>
        <w:t xml:space="preserve">security-headers.test.ts</w:t>
      </w:r>
      <w:r>
        <w:t xml:space="preserve"> </w:t>
      </w:r>
      <w:r>
        <w:t xml:space="preserve">guards together, and record it in the</w:t>
      </w:r>
      <w:r>
        <w:t xml:space="preserve"> </w:t>
      </w:r>
      <w:r>
        <w:t xml:space="preserve">security-audit delta log.</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2026-07-17T14:13:11Z</dcterms:created>
  <dcterms:modified xsi:type="dcterms:W3CDTF">2026-07-17T14:13:11Z</dcterms:modified>
</cp:coreProperties>
</file>

<file path=docProps/custom.xml><?xml version="1.0" encoding="utf-8"?>
<Properties xmlns="http://schemas.openxmlformats.org/officeDocument/2006/custom-properties" xmlns:vt="http://schemas.openxmlformats.org/officeDocument/2006/docPropsVTypes"/>
</file>