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hub-studio-2.0"/>
    <w:p>
      <w:pPr>
        <w:pStyle w:val="Heading1"/>
      </w:pPr>
      <w:r>
        <w:t xml:space="preserve">Hub Studio 2.0</w:t>
      </w:r>
    </w:p>
    <w:bookmarkStart w:id="10" w:name="X92228e55371593ead34fa7d1c85617ef25dcf83"/>
    <w:p>
      <w:pPr>
        <w:pStyle w:val="Heading2"/>
      </w:pPr>
      <w:r>
        <w:t xml:space="preserve">ICJIA Research Hub Studio — Design &amp; Implementation Specification</w:t>
      </w:r>
    </w:p>
    <w:bookmarkStart w:id="9" w:name="X3bf88b0e077b97421c2b1a728a1132cf9aafa01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set of setup steps that only ICJIA’s own Research &amp; Analysis</w:t>
      </w:r>
      <w:r>
        <w:t xml:space="preserve"> </w:t>
      </w:r>
      <w:r>
        <w:t xml:space="preserve">staff can do (creating one storage type, supplying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ICJIA’s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a complete demo is clickable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(production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public demo)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405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1"/>
    <w:bookmarkStart w:id="15" w:name="Xfec8a86be2cc7c2c9d6e37e78d851a854ff9da7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2" w:name="most-visited-pages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page’s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2805"/>
        <w:gridCol w:w="313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Effectiveness and Implications of Police Reform”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“Understanding Police Officer Stress: A Review of the Literature”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Victim–Offender Overlap”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2021 SAFE-T Act: ICJIA Roles and Responsibilities”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“Mental Illness and Violence: Is There a Link?”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“An Overview of Police Use-of-Force Policies and Research”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“Trauma-Informed and Evidence-Based Practices and Programs”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“Addressing Police Officer Stress: Programs and Practices”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“Gender Differences in Intimate Partner Violence Service Use”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2"/>
    <w:bookmarkStart w:id="13" w:name="X91621296d19423d5d7a003381bb38706ae83837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3"/>
        <w:gridCol w:w="1819"/>
        <w:gridCol w:w="1926"/>
        <w:gridCol w:w="1498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3"/>
    <w:bookmarkStart w:id="14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site’s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There is a working copy of the tool. Sign</w:t>
      </w:r>
      <w:r>
        <w:t xml:space="preserve"> </w:t>
      </w:r>
      <w:r>
        <w:t xml:space="preserve">in with 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</w:t>
      </w:r>
      <w:r>
        <w:t xml:space="preserve"> </w:t>
      </w:r>
      <w:r>
        <w:t xml:space="preserve">edit, and preview hundreds of sample articles directly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this demonstration is where you see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375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tool’s promises every time the code changes and stop</w:t>
      </w:r>
      <w:r>
        <w:t xml:space="preserve"> </w:t>
      </w:r>
      <w:r>
        <w:t xml:space="preserve">the work if a promise breaks. When this document says a 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a</w:t>
      </w:r>
      <w:r>
        <w:t xml:space="preserve"> </w:t>
      </w:r>
      <w:r>
        <w:t xml:space="preserve">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project’s shared history, independently reviewed before it was 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person’s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ICJIA’s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ICJIA’s Research &amp; Analysis unit creates each person’s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7"/>
    <w:bookmarkStart w:id="25" w:name="the-real-scope-behind-post-an-article"/>
    <w:p>
      <w:pPr>
        <w:pStyle w:val="Heading2"/>
      </w:pPr>
      <w:r>
        <w:t xml:space="preserve">2. The real scope behind</w:t>
      </w:r>
      <w:r>
        <w:t xml:space="preserve"> </w:t>
      </w:r>
      <w:r>
        <w:t xml:space="preserve">“post an article”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“Posting an article”</w:t>
      </w:r>
      <w:r>
        <w:t xml:space="preserve"> </w:t>
      </w:r>
      <w:r>
        <w:t xml:space="preserve">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8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8"/>
    <w:bookmarkStart w:id="19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</w:t>
      </w:r>
      <w:r>
        <w:t xml:space="preserve"> </w:t>
      </w:r>
      <w:r>
        <w:t xml:space="preserve">“let them log in.”</w:t>
      </w:r>
    </w:p>
    <w:bookmarkEnd w:id="19"/>
    <w:bookmarkStart w:id="20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0"/>
    <w:bookmarkStart w:id="21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1"/>
    <w:bookmarkStart w:id="22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22"/>
    <w:bookmarkStart w:id="23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3"/>
    <w:bookmarkStart w:id="24" w:name="so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6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6"/>
    <w:bookmarkStart w:id="27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7"/>
    <w:bookmarkStart w:id="28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8"/>
    <w:bookmarkStart w:id="29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9"/>
    <w:bookmarkStart w:id="30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30"/>
    <w:bookmarkStart w:id="31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1"/>
    <w:bookmarkStart w:id="32" w:name="X73306b0fe89e38ae21ea2d9f116dffdc67ec2bb"/>
    <w:p>
      <w:pPr>
        <w:pStyle w:val="Heading3"/>
      </w:pPr>
      <w:r>
        <w:t xml:space="preserve">(g) A self-contained Demo Mode for safe demonstrations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note at the end of Section 5, and the security note</w:t>
      </w:r>
      <w:r>
        <w:t xml:space="preserve"> </w:t>
      </w:r>
      <w:r>
        <w:t xml:space="preserve">in Section 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2"/>
    <w:bookmarkStart w:id="33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33"/>
    <w:bookmarkStart w:id="34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6"/>
    <w:bookmarkStart w:id="38" w:name="Xdac865c7e7c6d9bcdc84180aa585424024b60e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7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tool’s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running demonstration and use the tool directly; the test suite re-checks</w:t>
      </w:r>
      <w:r>
        <w:t xml:space="preserve"> </w:t>
      </w:r>
      <w:r>
        <w:t xml:space="preserve">375 promises every time the code changes; and every change is an independently</w:t>
      </w:r>
      <w:r>
        <w:t xml:space="preserve"> </w:t>
      </w:r>
      <w:r>
        <w:t xml:space="preserve">reviewed, reversible entry in the official record. The tool has also been through</w:t>
      </w:r>
      <w:r>
        <w:t xml:space="preserve"> </w:t>
      </w:r>
      <w:r>
        <w:t xml:space="preserve">an independent red/blue-team security audit (Section 6), which found zero critical</w:t>
      </w:r>
      <w:r>
        <w:t xml:space="preserve"> </w:t>
      </w:r>
      <w:r>
        <w:t xml:space="preserve">issues. Every claim here points to something that can be examined.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ICJIA’s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during development only, there is a temporary</w:t>
      </w:r>
      <w:r>
        <w:t xml:space="preserve"> </w:t>
      </w:r>
      <w:r>
        <w:t xml:space="preserve">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referenced throughout</w:t>
      </w:r>
      <w:r>
        <w:t xml:space="preserve"> </w:t>
      </w:r>
      <w:r>
        <w:t xml:space="preserve">this document. It lets a person open the tool without a full account so the workflow</w:t>
      </w:r>
      <w:r>
        <w:t xml:space="preserve"> </w:t>
      </w:r>
      <w:r>
        <w:t xml:space="preserve">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</w:t>
      </w:r>
      <w:r>
        <w:t xml:space="preserve"> </w:t>
      </w:r>
      <w:r>
        <w:t xml:space="preserve">is stripped out when the production version is made, and its credential is a dummy</w:t>
      </w:r>
      <w:r>
        <w:t xml:space="preserve"> </w:t>
      </w:r>
      <w:r>
        <w:t xml:space="preserve">the content system will never accept), it grants</w:t>
      </w:r>
      <w:r>
        <w:t xml:space="preserve"> </w:t>
      </w:r>
      <w:r>
        <w:rPr>
          <w:b/>
          <w:bCs/>
        </w:rPr>
        <w:t xml:space="preserve">no access to live data</w:t>
      </w:r>
      <w:r>
        <w:t xml:space="preserve">, and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 roadmap). It appears here and in</w:t>
      </w:r>
      <w:r>
        <w:t xml:space="preserve"> </w:t>
      </w:r>
      <w:r>
        <w:t xml:space="preserve">the roadmap so the record is complete — it presents no risk to live information.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(405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 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Neutralized by the 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the rejected sentinel token; optional freeze + CI guard noted</w:t>
            </w:r>
          </w:p>
        </w:tc>
        <w:tc>
          <w:tcPr/>
          <w:p>
            <w:pPr>
              <w:pStyle w:val="Compact"/>
            </w:pPr>
            <w:r>
              <w:t xml:space="preserve">🛡️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r>
        <w:pict>
          <v:rect style="width:0;height:1.5pt" o:hralign="center" o:hrstd="t" o:hr="t"/>
        </w:pict>
      </w:r>
    </w:p>
    <w:bookmarkEnd w:id="39"/>
    <w:bookmarkStart w:id="47" w:name="X1505a23678915b32d709cc1732e141a0f4a0b62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0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40"/>
    <w:bookmarkStart w:id="41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1"/>
    <w:bookmarkStart w:id="42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2"/>
    <w:bookmarkStart w:id="43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3"/>
    <w:bookmarkStart w:id="44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44"/>
    <w:bookmarkStart w:id="45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5"/>
    <w:bookmarkStart w:id="46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2026-06-21T22:03:06Z</dcterms:created>
  <dcterms:modified xsi:type="dcterms:W3CDTF">2026-06-21T22:03:06Z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