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icjia-research-hub-studio-2026"/>
    <w:p>
      <w:pPr>
        <w:pStyle w:val="Heading1"/>
      </w:pPr>
      <w:r>
        <w:t xml:space="preserve">ICJIA Research Hub Studio 2026</w:t>
      </w:r>
    </w:p>
    <w:bookmarkStart w:id="9" w:name="design-implementation-specification"/>
    <w:p>
      <w:pPr>
        <w:pStyle w:val="Heading2"/>
      </w:pPr>
      <w:r>
        <w:t xml:space="preserve">Design &amp; Implementation Specification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built; not yet switched on for the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Project managers, directors, and stakeholders (no technical background required)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The Studio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and publishing — exists today, runs on the team’s shared, official copy</w:t>
      </w:r>
      <w:r>
        <w:t xml:space="preserve"> </w:t>
      </w:r>
      <w:r>
        <w:t xml:space="preserve">of the project, and is checked by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 is the handful of setup steps that only ICJIA’s own Research &amp; Analysis</w:t>
      </w:r>
      <w:r>
        <w:t xml:space="preserve"> </w:t>
      </w:r>
      <w:r>
        <w:t xml:space="preserve">staff can do (creating one storage type, plugging in the email keys and the</w:t>
      </w:r>
      <w:r>
        <w:t xml:space="preserve"> </w:t>
      </w:r>
      <w:r>
        <w:t xml:space="preserve">“rebuild the public site”</w:t>
      </w:r>
      <w:r>
        <w:t xml:space="preserve"> </w:t>
      </w:r>
      <w:r>
        <w:t xml:space="preserve">trigger) and a final dress rehearsal with real staff</w:t>
      </w:r>
      <w:r>
        <w:t xml:space="preserve"> </w:t>
      </w:r>
      <w:r>
        <w:t xml:space="preserve">accounts before it goes live.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it’s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isn’t, it</w:t>
      </w:r>
      <w:r>
        <w:t xml:space="preserve"> </w:t>
      </w:r>
      <w:r>
        <w:t xml:space="preserve">says so plainly.</w:t>
      </w:r>
    </w:p>
    <w:p>
      <w:r>
        <w:pict>
          <v:rect style="width:0;height:1.5pt" o:hralign="center" o:hrstd="t" o:hr="t"/>
        </w:pict>
      </w:r>
    </w:p>
    <w:bookmarkEnd w:id="9"/>
    <w:bookmarkStart w:id="10" w:name="tldr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the internal tool ICJIA staff use to write, preview, and publish Research Hub content (articles, apps, datasets).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in development — you can click through a complete demo today.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plain-English editor with a live</w:t>
      </w:r>
      <w:r>
        <w:t xml:space="preserve"> </w:t>
      </w:r>
      <w:r>
        <w:t xml:space="preserve">“exactly-as-published”</w:t>
      </w:r>
      <w:r>
        <w:t xml:space="preserve"> </w:t>
      </w:r>
      <w:r>
        <w:t xml:space="preserve">preview; a manager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 —</w:t>
      </w:r>
      <w:r>
        <w:t xml:space="preserve"> </w:t>
      </w:r>
      <w:r>
        <w:rPr>
          <w:b/>
          <w:bCs/>
        </w:rPr>
        <w:t xml:space="preserve">0 critical issues</w:t>
      </w:r>
      <w:r>
        <w:t xml:space="preserve">; the in-repo fixes are done and covered by 375 automated tests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What’s left:</w:t>
      </w:r>
      <w:r>
        <w:t xml:space="preserve"> </w:t>
      </w:r>
      <w:r>
        <w:t xml:space="preserve">setup on the Strapi / email side (Research &amp; Analysis) and a short launch checklist — not new building.</w:t>
      </w:r>
    </w:p>
    <w:p>
      <w:pPr>
        <w:pStyle w:val="FirstParagraph"/>
      </w:pPr>
      <w:r>
        <w:rPr>
          <w:i/>
          <w:iCs/>
        </w:rPr>
        <w:t xml:space="preserve">That’s the whole project in five lines. Everything below is the supporting evidence, organized by section — read only what you need.</w:t>
      </w:r>
    </w:p>
    <w:p>
      <w:r>
        <w:pict>
          <v:rect style="width:0;height:1.5pt" o:hralign="center" o:hrstd="t" o:hr="t"/>
        </w:pict>
      </w:r>
    </w:p>
    <w:bookmarkEnd w:id="10"/>
    <w:bookmarkStart w:id="11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 an intelligent reader who does not write software.</w:t>
      </w:r>
      <w:r>
        <w:t xml:space="preserve"> </w:t>
      </w:r>
      <w:r>
        <w:t xml:space="preserve">You should be able to read sections 1 through 5 from start to finish and come away</w:t>
      </w:r>
      <w:r>
        <w:t xml:space="preserve"> </w:t>
      </w:r>
      <w:r>
        <w:t xml:space="preserve">able to explain — to your own leadership — what this tool is, why it is real work,</w:t>
      </w:r>
      <w:r>
        <w:t xml:space="preserve"> </w:t>
      </w:r>
      <w:r>
        <w:t xml:space="preserve">what is finished, and why the work can be trusted. There is no jargon you are</w:t>
      </w:r>
      <w:r>
        <w:t xml:space="preserve"> </w:t>
      </w:r>
      <w:r>
        <w:t xml:space="preserve">expected to already know; where a technical word is genuinely necessary, it is</w:t>
      </w:r>
      <w:r>
        <w:t xml:space="preserve"> </w:t>
      </w:r>
      <w:r>
        <w:t xml:space="preserve">explained in one plain line right where it appears.</w:t>
      </w:r>
    </w:p>
    <w:p>
      <w:pPr>
        <w:pStyle w:val="BodyText"/>
      </w:pPr>
      <w:r>
        <w:rPr>
          <w:b/>
          <w:bCs/>
        </w:rPr>
        <w:t xml:space="preserve">This document is built to be checked, not just read.</w:t>
      </w:r>
      <w:r>
        <w:t xml:space="preserve"> </w:t>
      </w:r>
      <w:r>
        <w:t xml:space="preserve">If you are the kind of</w:t>
      </w:r>
      <w:r>
        <w:t xml:space="preserve"> </w:t>
      </w:r>
      <w:r>
        <w:t xml:space="preserve">manager who wants the receipts before you believe a</w:t>
      </w:r>
      <w:r>
        <w:t xml:space="preserve"> </w:t>
      </w:r>
      <w:r>
        <w:t xml:space="preserve">“done,”</w:t>
      </w:r>
      <w:r>
        <w:t xml:space="preserve"> </w:t>
      </w:r>
      <w:r>
        <w:t xml:space="preserve">this is written for</w:t>
      </w:r>
      <w:r>
        <w:t xml:space="preserve"> </w:t>
      </w:r>
      <w:r>
        <w:t xml:space="preserve">you. Almost every claim of</w:t>
      </w:r>
      <w:r>
        <w:t xml:space="preserve"> </w:t>
      </w:r>
      <w:r>
        <w:t xml:space="preserve">“built”</w:t>
      </w:r>
      <w:r>
        <w:t xml:space="preserve"> </w:t>
      </w:r>
      <w:r>
        <w:t xml:space="preserve">below comes with one of three kinds of proof</w:t>
      </w:r>
      <w:r>
        <w:t xml:space="preserve"> </w:t>
      </w:r>
      <w:r>
        <w:t xml:space="preserve">you can verify yourself, without trusting anyone’s word: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 can click it.</w:t>
      </w:r>
      <w:r>
        <w:t xml:space="preserve"> </w:t>
      </w:r>
      <w:r>
        <w:t xml:space="preserve">There is a running demonstration of the tool. Sign in with</w:t>
      </w:r>
      <w:r>
        <w:t xml:space="preserve"> </w:t>
      </w:r>
      <w:r>
        <w:t xml:space="preserve">the temporary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 you can open, edit, and</w:t>
      </w:r>
      <w:r>
        <w:t xml:space="preserve"> </w:t>
      </w:r>
      <w:r>
        <w:t xml:space="preserve">preview hundreds of sample articles with your own hands — without changing or</w:t>
      </w:r>
      <w:r>
        <w:t xml:space="preserve"> </w:t>
      </w:r>
      <w:r>
        <w:t xml:space="preserve">saving anything to the real system. Wherever a feature says</w:t>
      </w:r>
      <w:r>
        <w:t xml:space="preserve"> </w:t>
      </w:r>
      <w:r>
        <w:t xml:space="preserve">“you can see this,”</w:t>
      </w:r>
      <w:r>
        <w:t xml:space="preserve"> </w:t>
      </w:r>
      <w:r>
        <w:t xml:space="preserve">that demonstration is where you see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machine checks it, continuously.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325 automated tests</w:t>
      </w:r>
      <w:r>
        <w:t xml:space="preserve"> </w:t>
      </w:r>
      <w:r>
        <w:t xml:space="preserve">— small programs that re-prove the tool’s promises every time the code changes,</w:t>
      </w:r>
      <w:r>
        <w:t xml:space="preserve"> </w:t>
      </w:r>
      <w:r>
        <w:t xml:space="preserve">and that stop the work cold if any promise breaks. When this document says a</w:t>
      </w:r>
      <w:r>
        <w:t xml:space="preserve"> </w:t>
      </w:r>
      <w:r>
        <w:t xml:space="preserve">promise is</w:t>
      </w:r>
      <w:r>
        <w:t xml:space="preserve"> </w:t>
      </w:r>
      <w:r>
        <w:t xml:space="preserve">“guaranteed,”</w:t>
      </w:r>
      <w:r>
        <w:t xml:space="preserve"> </w:t>
      </w:r>
      <w:r>
        <w:t xml:space="preserve">it means a test enforces it, not that someone is being</w:t>
      </w:r>
      <w:r>
        <w:t xml:space="preserve"> </w:t>
      </w:r>
      <w:r>
        <w:t xml:space="preserve">careful.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It’s in the official record.</w:t>
      </w:r>
      <w:r>
        <w:t xml:space="preserve"> </w:t>
      </w:r>
      <w:r>
        <w:t xml:space="preserve">Every piece of work is a dated, reversible save</w:t>
      </w:r>
      <w:r>
        <w:t xml:space="preserve"> </w:t>
      </w:r>
      <w:r>
        <w:t xml:space="preserve">point in the project’s shared history, independently reviewed before it was</w:t>
      </w:r>
      <w:r>
        <w:t xml:space="preserve"> </w:t>
      </w:r>
      <w:r>
        <w:t xml:space="preserve">accepted.</w:t>
      </w:r>
      <w:r>
        <w:t xml:space="preserve"> </w:t>
      </w:r>
      <w:r>
        <w:t xml:space="preserve">“Built”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</w:t>
      </w:r>
      <w:r>
        <w:t xml:space="preserve"> </w:t>
      </w:r>
      <w:r>
        <w:t xml:space="preserve">“on</w:t>
      </w:r>
      <w:r>
        <w:t xml:space="preserve"> </w:t>
      </w:r>
      <w:r>
        <w:t xml:space="preserve">someone’s laptop.”</w:t>
      </w:r>
    </w:p>
    <w:p>
      <w:pPr>
        <w:pStyle w:val="FirstParagraph"/>
      </w:pPr>
      <w:r>
        <w:t xml:space="preserve">Section 7 is an optional appendix for the technically curious. You can skip it</w:t>
      </w:r>
      <w:r>
        <w:t xml:space="preserve"> </w:t>
      </w:r>
      <w:r>
        <w:t xml:space="preserve">entirely without missing anything you need.</w:t>
      </w:r>
    </w:p>
    <w:p>
      <w:pPr>
        <w:pStyle w:val="BodyText"/>
      </w:pPr>
      <w:r>
        <w:t xml:space="preserve">A word on intent: this is not a sales pitch and it is not a complaint. It is an</w:t>
      </w:r>
      <w:r>
        <w:t xml:space="preserve"> </w:t>
      </w:r>
      <w:r>
        <w:t xml:space="preserve">honest accounting of what</w:t>
      </w:r>
      <w:r>
        <w:t xml:space="preserve"> </w:t>
      </w:r>
      <w:r>
        <w:t xml:space="preserve">“let staff post articles to our website”</w:t>
      </w:r>
      <w:r>
        <w:t xml:space="preserve"> </w:t>
      </w:r>
      <w:r>
        <w:t xml:space="preserve">actually</w:t>
      </w:r>
      <w:r>
        <w:t xml:space="preserve"> </w:t>
      </w:r>
      <w:r>
        <w:t xml:space="preserve">involves when it is built to be safe, accessible, and dependable for a public</w:t>
      </w:r>
      <w:r>
        <w:t xml:space="preserve"> </w:t>
      </w:r>
      <w:r>
        <w:t xml:space="preserve">government audience — and an honest accounting of exactly how much of that is now</w:t>
      </w:r>
      <w:r>
        <w:t xml:space="preserve"> </w:t>
      </w:r>
      <w:r>
        <w:t xml:space="preserve">finished and how much remains.</w:t>
      </w:r>
    </w:p>
    <w:p>
      <w:r>
        <w:pict>
          <v:rect style="width:0;height:1.5pt" o:hralign="center" o:hrstd="t" o:hr="t"/>
        </w:pict>
      </w:r>
    </w:p>
    <w:bookmarkEnd w:id="11"/>
    <w:bookmarkStart w:id="12" w:name="what-the-studio-is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t xml:space="preserve">The Studio is a private, staff-only website where ICJIA’s researchers write and</w:t>
      </w:r>
      <w:r>
        <w:t xml:space="preserve"> </w:t>
      </w:r>
      <w:r>
        <w:t xml:space="preserve">edit content — articles, the interactive apps ICJIA publishes, and datasets — in</w:t>
      </w:r>
      <w:r>
        <w:t xml:space="preserve"> </w:t>
      </w:r>
      <w:r>
        <w:t xml:space="preserve">a safe, controlled place before any of it goes public. When a piece is approved,</w:t>
      </w:r>
      <w:r>
        <w:t xml:space="preserve"> </w:t>
      </w:r>
      <w:r>
        <w:t xml:space="preserve">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 actually</w:t>
      </w:r>
      <w:r>
        <w:t xml:space="preserve"> </w:t>
      </w:r>
      <w:r>
        <w:t xml:space="preserve">visits. The public Research Hub is the storefront; the Studio is the back room</w:t>
      </w:r>
      <w:r>
        <w:t xml:space="preserve"> </w:t>
      </w:r>
      <w:r>
        <w:t xml:space="preserve">where the work is prepared, reviewed, and signed off before it reaches the shelf.</w:t>
      </w:r>
    </w:p>
    <w:p>
      <w:pPr>
        <w:pStyle w:val="BodyText"/>
      </w:pPr>
      <w:r>
        <w:t xml:space="preserve">In one sentence a non-technical executive can repeat:</w:t>
      </w:r>
      <w:r>
        <w:t xml:space="preserve"> </w:t>
      </w:r>
      <w:r>
        <w:rPr>
          <w:i/>
          <w:iCs/>
        </w:rPr>
        <w:t xml:space="preserve">the Studio is the</w:t>
      </w:r>
      <w:r>
        <w:rPr>
          <w:i/>
          <w:iCs/>
        </w:rPr>
        <w:t xml:space="preserve"> </w:t>
      </w:r>
      <w:r>
        <w:rPr>
          <w:i/>
          <w:iCs/>
        </w:rPr>
        <w:t xml:space="preserve">secure, staff-only workspace where ICJIA researchers prepare and approve content,</w:t>
      </w:r>
      <w:r>
        <w:rPr>
          <w:i/>
          <w:iCs/>
        </w:rPr>
        <w:t xml:space="preserve"> </w:t>
      </w:r>
      <w:r>
        <w:rPr>
          <w:i/>
          <w:iCs/>
        </w:rPr>
        <w:t xml:space="preserve">and from which approved content is published to the public Research Hub.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</w:t>
      </w:r>
      <w:r>
        <w:t xml:space="preserve"> </w:t>
      </w:r>
      <w:r>
        <w:t xml:space="preserve">way that bloats the system, and it carries a confusing multi-step approval</w:t>
      </w:r>
      <w:r>
        <w:t xml:space="preserve"> </w:t>
      </w:r>
      <w:r>
        <w:t xml:space="preserve">process. The new Studio is built on current, well-supported technology, handles</w:t>
      </w:r>
      <w:r>
        <w:t xml:space="preserve"> </w:t>
      </w:r>
      <w:r>
        <w:t xml:space="preserve">images properly, and deliberately simplifies the process down to two clear roles: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 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important boundary, stated up front because it shapes everything else:</w:t>
      </w:r>
      <w:r>
        <w:t xml:space="preserve"> </w:t>
      </w:r>
      <w:r>
        <w:rPr>
          <w:b/>
          <w:bCs/>
        </w:rPr>
        <w:t xml:space="preserve">staff</w:t>
      </w:r>
      <w:r>
        <w:rPr>
          <w:b/>
          <w:bCs/>
        </w:rPr>
        <w:t xml:space="preserve"> </w:t>
      </w:r>
      <w:r>
        <w:rPr>
          <w:b/>
          <w:bCs/>
        </w:rPr>
        <w:t xml:space="preserve">do not sign themselves up.</w:t>
      </w:r>
      <w:r>
        <w:t xml:space="preserve"> </w:t>
      </w:r>
      <w:r>
        <w:t xml:space="preserve">ICJIA’s Research &amp; Analysis unit creates each person’s</w:t>
      </w:r>
      <w:r>
        <w:t xml:space="preserve"> </w:t>
      </w:r>
      <w:r>
        <w:t xml:space="preserve">account; the sign-in screen says so and points anyone without an account to</w:t>
      </w:r>
      <w:r>
        <w:t xml:space="preserve"> </w:t>
      </w:r>
      <w:r>
        <w:t xml:space="preserve">Research &amp; Analysis. This is deliberate. The whole point of a controlled,</w:t>
      </w:r>
      <w:r>
        <w:t xml:space="preserve"> </w:t>
      </w:r>
      <w:r>
        <w:t xml:space="preserve">staff-only workspace is that only the right people can get in, and that decision is</w:t>
      </w:r>
      <w:r>
        <w:t xml:space="preserve"> </w:t>
      </w:r>
      <w:r>
        <w:t xml:space="preserve">made by ICJIA, not by a self-service form.</w:t>
      </w:r>
    </w:p>
    <w:p>
      <w:r>
        <w:pict>
          <v:rect style="width:0;height:1.5pt" o:hralign="center" o:hrstd="t" o:hr="t"/>
        </w:pict>
      </w:r>
    </w:p>
    <w:bookmarkEnd w:id="12"/>
    <w:bookmarkStart w:id="20" w:name="is-this-a-simple-project"/>
    <w:p>
      <w:pPr>
        <w:pStyle w:val="Heading2"/>
      </w:pPr>
      <w:r>
        <w:t xml:space="preserve">2.</w:t>
      </w:r>
      <w:r>
        <w:t xml:space="preserve"> </w:t>
      </w:r>
      <w:r>
        <w:t xml:space="preserve">“Is this a simple project?”</w:t>
      </w:r>
    </w:p>
    <w:p>
      <w:pPr>
        <w:pStyle w:val="FirstParagraph"/>
      </w:pPr>
      <w:r>
        <w:t xml:space="preserve">It is fair to look at this and ask:</w:t>
      </w:r>
      <w:r>
        <w:t xml:space="preserve"> </w:t>
      </w:r>
      <w:r>
        <w:rPr>
          <w:i/>
          <w:iCs/>
        </w:rPr>
        <w:t xml:space="preserve">we just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isn’t that simple?</w:t>
      </w:r>
      <w:r>
        <w:t xml:space="preserve"> </w:t>
      </w:r>
      <w:r>
        <w:t xml:space="preserve">It is a reasonable question and it deserves a</w:t>
      </w:r>
      <w:r>
        <w:t xml:space="preserve"> </w:t>
      </w:r>
      <w:r>
        <w:t xml:space="preserve">straight answer.</w:t>
      </w:r>
    </w:p>
    <w:p>
      <w:pPr>
        <w:pStyle w:val="BodyText"/>
      </w:pPr>
      <w:r>
        <w:t xml:space="preserve">The honest answer is that</w:t>
      </w:r>
      <w:r>
        <w:t xml:space="preserve"> </w:t>
      </w:r>
      <w:r>
        <w:t xml:space="preserve">“posting an article”</w:t>
      </w:r>
      <w:r>
        <w:t xml:space="preserve"> </w:t>
      </w:r>
      <w:r>
        <w:t xml:space="preserve">is the small, visible part. Almost</w:t>
      </w:r>
      <w:r>
        <w:t xml:space="preserve"> </w:t>
      </w:r>
      <w:r>
        <w:t xml:space="preserve">everything that makes such a tool genuinely</w:t>
      </w:r>
      <w:r>
        <w:t xml:space="preserve"> </w:t>
      </w:r>
      <w:r>
        <w:rPr>
          <w:b/>
          <w:bCs/>
        </w:rPr>
        <w:t xml:space="preserve">safe, usable, accessible, and</w:t>
      </w:r>
      <w:r>
        <w:rPr>
          <w:b/>
          <w:bCs/>
        </w:rPr>
        <w:t xml:space="preserve"> </w:t>
      </w:r>
      <w:r>
        <w:rPr>
          <w:b/>
          <w:bCs/>
        </w:rPr>
        <w:t xml:space="preserve">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quietly assumes</w:t>
      </w:r>
      <w:r>
        <w:t xml:space="preserve"> </w:t>
      </w:r>
      <w:r>
        <w:t xml:space="preserve">but never states. None of what follows is padding. Each item is ordinary,</w:t>
      </w:r>
      <w:r>
        <w:t xml:space="preserve"> </w:t>
      </w:r>
      <w:r>
        <w:t xml:space="preserve">professional work — and each is real. The point of this section is to make the</w:t>
      </w:r>
      <w:r>
        <w:t xml:space="preserve"> </w:t>
      </w:r>
      <w:r>
        <w:t xml:space="preserve">part of the iceberg that sits below the waterline visible.</w:t>
      </w:r>
    </w:p>
    <w:bookmarkStart w:id="13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field’s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field’s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3"/>
    <w:bookmarkStart w:id="14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button from a writer is easy and, on its own,</w:t>
      </w:r>
      <w:r>
        <w:t xml:space="preserve"> </w:t>
      </w:r>
      <w:r>
        <w:t xml:space="preserve">worthless: the button is just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hiding behind</w:t>
      </w:r>
      <w:r>
        <w:t xml:space="preserve"> </w:t>
      </w:r>
      <w:r>
        <w:t xml:space="preserve">“just let them log in.”</w:t>
      </w:r>
    </w:p>
    <w:bookmarkEnd w:id="14"/>
    <w:bookmarkStart w:id="15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“Add a picture”</w:t>
      </w:r>
      <w:r>
        <w:t xml:space="preserve"> </w:t>
      </w:r>
      <w:r>
        <w:t xml:space="preserve">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the tool cannot simply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 supplying a</w:t>
      </w:r>
      <w:r>
        <w:t xml:space="preserve"> </w:t>
      </w:r>
      <w:r>
        <w:t xml:space="preserve">description the path of least resistance, so that accessible content is what</w:t>
      </w:r>
      <w:r>
        <w:t xml:space="preserve"> </w:t>
      </w:r>
      <w:r>
        <w:t xml:space="preserve">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15"/>
    <w:bookmarkStart w:id="16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16"/>
    <w:bookmarkStart w:id="17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 true if both turn the author’s text into a page using</w:t>
      </w:r>
      <w:r>
        <w:t xml:space="preserve"> </w:t>
      </w:r>
      <w:r>
        <w:t xml:space="preserve">the identical set of formatting rules — and ICJIA’s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preview’s rules and the public site’s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</w:t>
      </w:r>
      <w:r>
        <w:t xml:space="preserve"> </w:t>
      </w:r>
      <w:r>
        <w:t xml:space="preserve">“preview.”</w:t>
      </w:r>
    </w:p>
    <w:bookmarkEnd w:id="17"/>
    <w:bookmarkStart w:id="18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 in plain terms.)</w:t>
      </w:r>
    </w:p>
    <w:bookmarkEnd w:id="18"/>
    <w:bookmarkStart w:id="19" w:name="so-is-it-simple"/>
    <w:p>
      <w:pPr>
        <w:pStyle w:val="Heading3"/>
      </w:pPr>
      <w:r>
        <w:t xml:space="preserve">So — is it simple?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simple, deliberately: writers draft, approvers publish. That</w:t>
      </w:r>
      <w:r>
        <w:t xml:space="preserve"> </w:t>
      </w:r>
      <w:r>
        <w:t xml:space="preserve">simplicity for the user is itself an achievement — it is the direct result of</w:t>
      </w:r>
      <w:r>
        <w:t xml:space="preserve"> </w:t>
      </w:r>
      <w:r>
        <w:t xml:space="preserve">removing the old tool’s confusing multi-stage approval chain. 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sits on top of a real sign-in with real roles, three fully-modeled content types,</w:t>
      </w:r>
      <w:r>
        <w:t xml:space="preserve"> </w:t>
      </w:r>
      <w:r>
        <w:t xml:space="preserve">accessible and safe image handling, a guard that blocks bad data before it is</w:t>
      </w:r>
      <w:r>
        <w:t xml:space="preserve"> </w:t>
      </w:r>
      <w:r>
        <w:t xml:space="preserve">saved, an exact preview, and faithful integration with a professional content</w:t>
      </w:r>
      <w:r>
        <w:t xml:space="preserve"> </w:t>
      </w:r>
      <w:r>
        <w:t xml:space="preserve">system. None of those are optional if the result is going to be safe, accessible,</w:t>
      </w:r>
      <w:r>
        <w:t xml:space="preserve"> </w:t>
      </w:r>
      <w:r>
        <w:t xml:space="preserve">and trustworthy for a public government audience. That is the genuine scope —</w:t>
      </w:r>
      <w:r>
        <w:t xml:space="preserve"> </w:t>
      </w:r>
      <w:r>
        <w:t xml:space="preserve">real, credible, and entirely ordinary professional work.</w:t>
      </w:r>
    </w:p>
    <w:p>
      <w:pPr>
        <w:pStyle w:val="BodyText"/>
      </w:pPr>
      <w:r>
        <w:t xml:space="preserve">Every one of those pieces is now built. The next section walks through them one at</w:t>
      </w:r>
      <w:r>
        <w:t xml:space="preserve"> </w:t>
      </w:r>
      <w:r>
        <w:t xml:space="preserve">a time, and for each one tells you exactly where you can go to see it for yourself.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0" w:name="whats-working-today"/>
    <w:p>
      <w:pPr>
        <w:pStyle w:val="Heading2"/>
      </w:pPr>
      <w:r>
        <w:t xml:space="preserve">3. What’s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team’s official, shared copy</w:t>
      </w:r>
      <w:r>
        <w:t xml:space="preserve"> </w:t>
      </w:r>
      <w:r>
        <w:t xml:space="preserve">of the project (what developers call</w:t>
      </w:r>
      <w:r>
        <w:t xml:space="preserve"> </w:t>
      </w:r>
      <w:r>
        <w:t xml:space="preserve">“main”</w:t>
      </w:r>
      <w:r>
        <w:t xml:space="preserve">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</w:t>
      </w:r>
      <w:r>
        <w:t xml:space="preserve"> </w:t>
      </w:r>
      <w:r>
        <w:t xml:space="preserve">described in Section 4, and it is mostly setup that only ICJIA’s Research &amp; Analysis</w:t>
      </w:r>
      <w:r>
        <w:t xml:space="preserve"> </w:t>
      </w:r>
      <w:r>
        <w:t xml:space="preserve">unit can perform. The line between the 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the public</w:t>
      </w:r>
      <w:r>
        <w:t xml:space="preserve"> </w:t>
      </w:r>
      <w:r>
        <w:t xml:space="preserve">— none</w:t>
      </w:r>
      <w:r>
        <w:t xml:space="preserve"> </w:t>
      </w:r>
      <w:r>
        <w:t xml:space="preserve">of this is live to the public audience. It is a finished workshop build, waiting on</w:t>
      </w:r>
      <w:r>
        <w:t xml:space="preserve"> </w:t>
      </w:r>
      <w:r>
        <w:t xml:space="preserve">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running demonstration and</w:t>
      </w:r>
      <w:r>
        <w:t xml:space="preserve"> </w:t>
      </w:r>
      <w:r>
        <w:t xml:space="preserve">sign in with user name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You are now inside the real tool,</w:t>
      </w:r>
      <w:r>
        <w:t xml:space="preserve"> </w:t>
      </w:r>
      <w:r>
        <w:t xml:space="preserve">looking at 200-plus realistic sample articles (plus sample apps and datasets), and</w:t>
      </w:r>
      <w:r>
        <w:t xml:space="preserve"> </w:t>
      </w:r>
      <w:r>
        <w:t xml:space="preserve">you can click into any of them to edit and preview — all of it without ever saving</w:t>
      </w:r>
      <w:r>
        <w:t xml:space="preserve"> </w:t>
      </w:r>
      <w:r>
        <w:t xml:space="preserve">to or touching the live system. Everything described below is something you can do,</w:t>
      </w:r>
      <w:r>
        <w:t xml:space="preserve"> </w:t>
      </w:r>
      <w:r>
        <w:t xml:space="preserve">see, or click in that demonstration.</w:t>
      </w:r>
    </w:p>
    <w:bookmarkStart w:id="21" w:name="X0a4ac86ac5be9dab454159d05cb2489db6464ab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person’s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person’s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the login screen, the</w:t>
      </w:r>
      <w:r>
        <w:t xml:space="preserve"> </w:t>
      </w:r>
      <w:r>
        <w:t xml:space="preserve">“contact Research &amp; Analysis”</w:t>
      </w:r>
      <w:r>
        <w:t xml:space="preserve"> </w:t>
      </w:r>
      <w:r>
        <w:t xml:space="preserve">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1"/>
    <w:bookmarkStart w:id="22" w:name="X03f8f7c4f04537c37a48c664f875b6fabfa0e0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Receipt: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2"/>
    <w:bookmarkStart w:id="23" w:name="Xc6035bb95406a39770aedd6133a5ca46f974494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(it’s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3"/>
    <w:bookmarkStart w:id="24" w:name="X28624134f9040b4e18b38da238a65e95b380030"/>
    <w:p>
      <w:pPr>
        <w:pStyle w:val="Heading3"/>
      </w:pPr>
      <w:r>
        <w:t xml:space="preserve">(d) The save gate — bad or unsafe content can’t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gate’s rules are covered by automated tests</w:t>
      </w:r>
      <w:r>
        <w:t xml:space="preserve"> </w:t>
      </w:r>
      <w:r>
        <w:t xml:space="preserve">for every content type.</w:t>
      </w:r>
    </w:p>
    <w:bookmarkEnd w:id="24"/>
    <w:bookmarkStart w:id="25" w:name="Xcf8e5dd69464254cd29ec3521a1cfe1d11f63d7"/>
    <w:p>
      <w:pPr>
        <w:pStyle w:val="Heading3"/>
      </w:pPr>
      <w:r>
        <w:t xml:space="preserve">(e)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— exactly what the public will see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which is precisely how a reviewer or a skeptical manager opens a</w:t>
      </w:r>
      <w:r>
        <w:t xml:space="preserve"> </w:t>
      </w:r>
      <w:r>
        <w:t xml:space="preserve">specific draft and sees what will publish.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open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there.</w:t>
      </w:r>
    </w:p>
    <w:bookmarkEnd w:id="25"/>
    <w:bookmarkStart w:id="26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paginated content list</w:t>
      </w:r>
      <w:r>
        <w:t xml:space="preserve"> </w:t>
      </w:r>
      <w:r>
        <w:t xml:space="preserve">shows every item —</w:t>
      </w:r>
      <w:r>
        <w:t xml:space="preserve"> </w:t>
      </w:r>
      <w:r>
        <w:rPr>
          <w:b/>
          <w:bCs/>
        </w:rPr>
        <w:t xml:space="preserve">Date · Title · Author(s) ·</w:t>
      </w:r>
      <w:r>
        <w:rPr>
          <w:b/>
          <w:bCs/>
        </w:rPr>
        <w:t xml:space="preserve"> </w:t>
      </w:r>
      <w:r>
        <w:rPr>
          <w:b/>
          <w:bCs/>
        </w:rPr>
        <w:t xml:space="preserve">Draft/Published status</w:t>
      </w:r>
      <w:r>
        <w:t xml:space="preserve"> </w:t>
      </w:r>
      <w:r>
        <w:t xml:space="preserve">— newest first, so the most recent work is at the top.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One-click</w:t>
      </w:r>
      <w:r>
        <w:rPr>
          <w:b/>
          <w:bCs/>
        </w:rPr>
        <w:t xml:space="preserve"> </w:t>
      </w:r>
      <w:r>
        <w:rPr>
          <w:b/>
          <w:bCs/>
        </w:rPr>
        <w:t xml:space="preserve">“Add sample article / app / dataset”</w:t>
      </w:r>
      <w:r>
        <w:t xml:space="preserve"> </w:t>
      </w:r>
      <w:r>
        <w:t xml:space="preserve">buttons instantly fill in a</w:t>
      </w:r>
      <w:r>
        <w:t xml:space="preserve"> </w:t>
      </w:r>
      <w:r>
        <w:t xml:space="preserve">complete, realistic draft, so the tool can be demonstrated on demand without</w:t>
      </w:r>
      <w:r>
        <w:t xml:space="preserve"> </w:t>
      </w:r>
      <w:r>
        <w:t xml:space="preserve">typing one out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header. The theme toggle is the last button in the navigation.</w:t>
      </w:r>
    </w:p>
    <w:p>
      <w:pPr>
        <w:pStyle w:val="FirstParagraph"/>
      </w:pPr>
      <w:r>
        <w:rPr>
          <w:i/>
          <w:iCs/>
        </w:rPr>
        <w:t xml:space="preserve">Receipt: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26"/>
    <w:bookmarkStart w:id="27" w:name="X9314320b339b2fc12e69836d0f03c975abfc2cd"/>
    <w:p>
      <w:pPr>
        <w:pStyle w:val="Heading3"/>
      </w:pPr>
      <w:r>
        <w:t xml:space="preserve">(g) A self-contained Demo Mode for safe show-and-tell</w:t>
      </w:r>
    </w:p>
    <w:p>
      <w:pPr>
        <w:pStyle w:val="FirstParagraph"/>
      </w:pPr>
      <w:r>
        <w:t xml:space="preserve">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login opens a</w:t>
      </w:r>
      <w:r>
        <w:t xml:space="preserve"> </w:t>
      </w:r>
      <w:r>
        <w:rPr>
          <w:b/>
          <w:bCs/>
        </w:rPr>
        <w:t xml:space="preserve">fully self-contained Demo Mode</w:t>
      </w:r>
      <w:r>
        <w:t xml:space="preserve">:</w:t>
      </w:r>
      <w:r>
        <w:t xml:space="preserve"> </w:t>
      </w:r>
      <w:r>
        <w:rPr>
          <w:b/>
          <w:bCs/>
        </w:rPr>
        <w:t xml:space="preserve">200-plus full-length sample articles</w:t>
      </w:r>
      <w:r>
        <w:t xml:space="preserve"> </w:t>
      </w:r>
      <w:r>
        <w:t xml:space="preserve">— each with complete sections, figures, and</w:t>
      </w:r>
      <w:r>
        <w:t xml:space="preserve"> </w:t>
      </w:r>
      <w:r>
        <w:t xml:space="preserve">working footnote references — held in memory, fully clickable for editing and</w:t>
      </w:r>
      <w:r>
        <w:t xml:space="preserve"> </w:t>
      </w:r>
      <w:r>
        <w:t xml:space="preserve">previewing, that</w:t>
      </w:r>
      <w:r>
        <w:t xml:space="preserve"> </w:t>
      </w:r>
      <w:r>
        <w:rPr>
          <w:b/>
          <w:bCs/>
        </w:rPr>
        <w:t xml:space="preserve">never save anything to the live system</w:t>
      </w:r>
      <w:r>
        <w:t xml:space="preserve">. Every word in the demo</w:t>
      </w:r>
      <w:r>
        <w:t xml:space="preserve"> </w:t>
      </w:r>
      <w:r>
        <w:t xml:space="preserve">is fake: lorem ipsum body text and made-up names. No real ICJIA person, topic,</w:t>
      </w:r>
      <w:r>
        <w:t xml:space="preserve"> </w:t>
      </w:r>
      <w:r>
        <w:t xml:space="preserve">grant, or finding is ever shown on a demo screen. It exists so the tool can be shown</w:t>
      </w:r>
      <w:r>
        <w:t xml:space="preserve"> </w:t>
      </w:r>
      <w:r>
        <w:t xml:space="preserve">to managers, reviewers, or leadership safely, with zero risk to live information and</w:t>
      </w:r>
      <w:r>
        <w:t xml:space="preserve"> </w:t>
      </w:r>
      <w:r>
        <w:t xml:space="preserve">no risk of real ICJIA content appearing in a screenshot or a walkthrough.</w:t>
      </w:r>
      <w:r>
        <w:t xml:space="preserve"> </w:t>
      </w:r>
      <w:r>
        <w:t xml:space="preserve">(This convenience login is temporary and is removed before the tool goes to</w:t>
      </w:r>
      <w:r>
        <w:t xml:space="preserve"> </w:t>
      </w:r>
      <w:r>
        <w:t xml:space="preserve">production — see Section 4, the candid note in Section 5, and the security note in</w:t>
      </w:r>
      <w:r>
        <w:t xml:space="preserve"> </w:t>
      </w:r>
      <w:r>
        <w:t xml:space="preserve">Section 6.)</w:t>
      </w:r>
    </w:p>
    <w:p>
      <w:pPr>
        <w:pStyle w:val="BodyText"/>
      </w:pPr>
      <w:r>
        <w:rPr>
          <w:i/>
          <w:iCs/>
        </w:rPr>
        <w:t xml:space="preserve">Receipt: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27"/>
    <w:bookmarkStart w:id="28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</w:t>
      </w:r>
      <w:r>
        <w:t xml:space="preserve"> </w:t>
      </w:r>
      <w:r>
        <w:t xml:space="preserve">“Publish”</w:t>
      </w:r>
      <w:r>
        <w:t xml:space="preserve"> </w:t>
      </w:r>
      <w:r>
        <w:t xml:space="preserve">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site’s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bookmarkEnd w:id="28"/>
    <w:bookmarkStart w:id="29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can’t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“Preview as published”</w:t>
            </w:r>
            <w:r>
              <w:t xml:space="preserve"> </w:t>
            </w:r>
            <w:r>
              <w:t xml:space="preserve">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per-draft preview link</w:t>
            </w:r>
          </w:p>
        </w:tc>
        <w:tc>
          <w:tcPr/>
          <w:p>
            <w:pPr>
              <w:pStyle w:val="Compact"/>
            </w:pPr>
            <w:r>
              <w:t xml:space="preserve">Reviewers open a specific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Paginated content list (newest first)</w:t>
            </w:r>
          </w:p>
        </w:tc>
        <w:tc>
          <w:tcPr/>
          <w:p>
            <w:pPr>
              <w:pStyle w:val="Compact"/>
            </w:pPr>
            <w:r>
              <w:t xml:space="preserve">Find and track every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</w:t>
            </w:r>
          </w:p>
        </w:tc>
        <w:tc>
          <w:tcPr/>
          <w:p>
            <w:pPr>
              <w:pStyle w:val="Compact"/>
            </w:pPr>
            <w:r>
              <w:t xml:space="preserve">Comfortable, on-brand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Self-contained Demo Mode (</w:t>
            </w:r>
            <w:r>
              <w:rPr>
                <w:rStyle w:val="VerbatimChar"/>
              </w:rPr>
              <w:t xml:space="preserve">admin</w:t>
            </w:r>
            <w:r>
              <w:t xml:space="preserve">/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200+ full-length phony articles; no live saves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(temporary)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author’s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R&amp;A’s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hats-still-ahead"/>
    <w:p>
      <w:pPr>
        <w:pStyle w:val="Heading2"/>
      </w:pPr>
      <w:r>
        <w:t xml:space="preserve">4. What’s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ICJIA’s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ICJIA’s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can’t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R&amp;A’s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ICJIA’s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“publish → rebuild the public site”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trigger</w:t>
            </w:r>
            <w:r>
              <w:t xml:space="preserve"> </w:t>
            </w:r>
            <w:r>
              <w:t xml:space="preserve">(one connection from the content system to the public site’s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Studio’s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accounts:</w:t>
            </w:r>
            <w:r>
              <w:t xml:space="preserve"> </w:t>
            </w:r>
            <w:r>
              <w:t xml:space="preserve">test the live publish, the review email, and onboarding end-to-end — including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a real Author test account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the temporary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admin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demo login</w:t>
            </w:r>
            <w:r>
              <w:t xml:space="preserve"> </w:t>
            </w:r>
            <w:r>
              <w:t xml:space="preserve">before the tool goes to production.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It is already inert in any real build (see Section 5), but it is removed entirely as a final cleanup so the record is spotless.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today’s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Plainly: steps 1–3 are ICJIA’s setup, step 4 is the joint go-live check, and steps</w:t>
      </w:r>
      <w:r>
        <w:t xml:space="preserve"> </w:t>
      </w:r>
      <w:r>
        <w:t xml:space="preserve">5–6 are developer cleanup and an optional nicety. The setup steps (1–3) are each</w:t>
      </w:r>
      <w:r>
        <w:t xml:space="preserve"> </w:t>
      </w:r>
      <w:r>
        <w:t xml:space="preserve">documented in the project so R&amp;A can follow them directly. Nothing on this list is</w:t>
      </w:r>
      <w:r>
        <w:t xml:space="preserve"> </w:t>
      </w:r>
      <w:r>
        <w:t xml:space="preserve">an unknown or a research problem — they are known tasks with named owners.</w:t>
      </w:r>
    </w:p>
    <w:p>
      <w:r>
        <w:pict>
          <v:rect style="width:0;height:1.5pt" o:hralign="center" o:hrstd="t" o:hr="t"/>
        </w:pict>
      </w:r>
    </w:p>
    <w:bookmarkEnd w:id="31"/>
    <w:bookmarkStart w:id="33" w:name="how-we-work-and-why-you-can-trust-it"/>
    <w:p>
      <w:pPr>
        <w:pStyle w:val="Heading2"/>
      </w:pPr>
      <w:r>
        <w:t xml:space="preserve">5. How we work — and why you can trust it</w:t>
      </w:r>
    </w:p>
    <w:p>
      <w:pPr>
        <w:pStyle w:val="FirstParagraph"/>
      </w:pPr>
      <w:r>
        <w:t xml:space="preserve">The way this tool is built is as important as what it builds, because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is</w:t>
      </w:r>
      <w:r>
        <w:t xml:space="preserve"> </w:t>
      </w:r>
      <w:r>
        <w:t xml:space="preserve">built is what makes it dependable and maintainable for years. Three disciplines</w:t>
      </w:r>
      <w:r>
        <w:t xml:space="preserve"> </w:t>
      </w:r>
      <w:r>
        <w:t xml:space="preserve">define the approach, and together they are the reason a manager can trust work</w:t>
      </w:r>
      <w:r>
        <w:t xml:space="preserve"> </w:t>
      </w:r>
      <w:r>
        <w:t xml:space="preserve">even before it is switched on for the public.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project’s</w:t>
      </w:r>
      <w:r>
        <w:t xml:space="preserve"> </w:t>
      </w:r>
      <w:r>
        <w:t xml:space="preserve">headline promises — for example,</w:t>
      </w:r>
      <w:r>
        <w:t xml:space="preserve"> </w:t>
      </w:r>
      <w:r>
        <w:t xml:space="preserve">“no image is ever stored as a bloated embedded</w:t>
      </w:r>
      <w:r>
        <w:t xml:space="preserve"> </w:t>
      </w:r>
      <w:r>
        <w:t xml:space="preserve">block”</w:t>
      </w:r>
      <w:r>
        <w:t xml:space="preserve"> </w:t>
      </w:r>
      <w:r>
        <w:t xml:space="preserve">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</w:t>
      </w:r>
      <w:r>
        <w:t xml:space="preserve"> </w:t>
      </w:r>
      <w:r>
        <w:t xml:space="preserve">“built”</w:t>
      </w:r>
      <w:r>
        <w:t xml:space="preserve"> </w:t>
      </w:r>
      <w:r>
        <w:t xml:space="preserve">in this document means more than</w:t>
      </w:r>
      <w:r>
        <w:t xml:space="preserve"> </w:t>
      </w:r>
      <w:r>
        <w:t xml:space="preserve">“it appears to work.”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project’s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</w:t>
      </w:r>
      <w:r>
        <w:t xml:space="preserve"> </w:t>
      </w:r>
      <w:r>
        <w:t xml:space="preserve">“what’s the catch?”</w:t>
      </w:r>
      <w:r>
        <w:t xml:space="preserve"> </w:t>
      </w:r>
      <w:r>
        <w:t xml:space="preserve">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</w:t>
      </w:r>
      <w:r>
        <w:t xml:space="preserve"> </w:t>
      </w:r>
      <w:r>
        <w:t xml:space="preserve">“door,”</w:t>
      </w:r>
      <w:r>
        <w:t xml:space="preserve"> </w:t>
      </w:r>
      <w:r>
        <w:t xml:space="preserve">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person’s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375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the demo mode, and the</w:t>
      </w:r>
      <w:r>
        <w:t xml:space="preserve"> </w:t>
      </w:r>
      <w:r>
        <w:t xml:space="preserve">publish/email/onboarding code. The no-bloated-images rule, the accessibility</w:t>
      </w:r>
      <w:r>
        <w:t xml:space="preserve"> </w:t>
      </w:r>
      <w:r>
        <w:t xml:space="preserve">requirements, and the security handling of risky files are each backed by their</w:t>
      </w:r>
      <w:r>
        <w:t xml:space="preserve"> </w:t>
      </w:r>
      <w:r>
        <w:t xml:space="preserve">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2" w:name="answering-the-skeptic-directly"/>
    <w:p>
      <w:pPr>
        <w:pStyle w:val="Heading3"/>
      </w:pPr>
      <w:r>
        <w:t xml:space="preserve">Answering the skeptic directly</w:t>
      </w:r>
    </w:p>
    <w:p>
      <w:pPr>
        <w:pStyle w:val="FirstParagraph"/>
      </w:pPr>
      <w:r>
        <w:t xml:space="preserve">Three fair questions deserve straight answers, with no spin.</w:t>
      </w:r>
    </w:p>
    <w:p>
      <w:pPr>
        <w:numPr>
          <w:ilvl w:val="0"/>
          <w:numId w:val="1007"/>
        </w:numPr>
      </w:pPr>
      <w:r>
        <w:rPr>
          <w:b/>
          <w:bCs/>
          <w:i/>
          <w:iCs/>
        </w:rPr>
        <w:t xml:space="preserve">“Is this overbuilt?”</w:t>
      </w:r>
      <w:r>
        <w:t xml:space="preserve"> </w:t>
      </w:r>
      <w:r>
        <w:t xml:space="preserve">No —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the simplest it can be (writers draft, approvers</w:t>
      </w:r>
      <w:r>
        <w:t xml:space="preserve"> </w:t>
      </w:r>
      <w:r>
        <w:t xml:space="preserve">publish), which is itself a simplification of the old tool’s confusing approval</w:t>
      </w:r>
      <w:r>
        <w:t xml:space="preserve"> </w:t>
      </w:r>
      <w:r>
        <w:t xml:space="preserve">chain. Everything beneath it — real roles, accessible images, the save gate, the</w:t>
      </w:r>
      <w:r>
        <w:t xml:space="preserve"> </w:t>
      </w:r>
      <w:r>
        <w:t xml:space="preserve">exact preview — is the minimum 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</w:t>
      </w:r>
      <w:r>
        <w:t xml:space="preserve"> </w:t>
      </w:r>
      <w:r>
        <w:t xml:space="preserve">and accessible by law. None of it is decoration; remove any of it and you get a</w:t>
      </w:r>
      <w:r>
        <w:t xml:space="preserve"> </w:t>
      </w:r>
      <w:r>
        <w:t xml:space="preserve">tool that is unsafe, inaccessible, or untrustworthy. If anything was</w:t>
      </w:r>
      <w:r>
        <w:t xml:space="preserve"> </w:t>
      </w:r>
      <w:r>
        <w:rPr>
          <w:i/>
          <w:iCs/>
        </w:rPr>
        <w:t xml:space="preserve">added</w:t>
      </w:r>
      <w:r>
        <w:t xml:space="preserve"> </w:t>
      </w:r>
      <w:r>
        <w:t xml:space="preserve">for</w:t>
      </w:r>
      <w:r>
        <w:t xml:space="preserve"> </w:t>
      </w:r>
      <w:r>
        <w:t xml:space="preserve">comfort rather than necessity, it was the demo mode — and that exists precisely so</w:t>
      </w:r>
      <w:r>
        <w:t xml:space="preserve"> </w:t>
      </w:r>
      <w:r>
        <w:t xml:space="preserve">skeptics like you can verify the rest without risk.</w:t>
      </w:r>
    </w:p>
    <w:p>
      <w:pPr>
        <w:numPr>
          <w:ilvl w:val="0"/>
          <w:numId w:val="1007"/>
        </w:numPr>
      </w:pPr>
      <w:r>
        <w:rPr>
          <w:b/>
          <w:bCs/>
          <w:i/>
          <w:iCs/>
        </w:rPr>
        <w:t xml:space="preserve">“Can I trust it?”</w:t>
      </w:r>
      <w:r>
        <w:t xml:space="preserve"> </w:t>
      </w:r>
      <w:r>
        <w:t xml:space="preserve">You don’t have to take it on faith — that is the whole</w:t>
      </w:r>
      <w:r>
        <w:t xml:space="preserve"> </w:t>
      </w:r>
      <w:r>
        <w:t xml:space="preserve">design of this document. You can</w:t>
      </w:r>
      <w:r>
        <w:t xml:space="preserve"> </w:t>
      </w:r>
      <w:r>
        <w:rPr>
          <w:i/>
          <w:iCs/>
        </w:rPr>
        <w:t xml:space="preserve">click</w:t>
      </w:r>
      <w:r>
        <w:t xml:space="preserve"> </w:t>
      </w:r>
      <w:r>
        <w:t xml:space="preserve">the running demonstration and use the</w:t>
      </w:r>
      <w:r>
        <w:t xml:space="preserve"> </w:t>
      </w:r>
      <w:r>
        <w:t xml:space="preserve">tool yourself; a</w:t>
      </w:r>
      <w:r>
        <w:t xml:space="preserve"> </w:t>
      </w:r>
      <w:r>
        <w:rPr>
          <w:i/>
          <w:iCs/>
        </w:rPr>
        <w:t xml:space="preserve">machine</w:t>
      </w:r>
      <w:r>
        <w:t xml:space="preserve"> </w:t>
      </w:r>
      <w:r>
        <w:t xml:space="preserve">re-proves 375 promises every time the code changes;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 an independent red/blue-team security audit</w:t>
      </w:r>
      <w:r>
        <w:t xml:space="preserve"> </w:t>
      </w:r>
      <w:r>
        <w:t xml:space="preserve">(Section 6) — zero critical issues found. Trust here is something you can check,</w:t>
      </w:r>
      <w:r>
        <w:t xml:space="preserve"> </w:t>
      </w:r>
      <w:r>
        <w:t xml:space="preserve">not something you are asked to grant.</w:t>
      </w:r>
    </w:p>
    <w:p>
      <w:pPr>
        <w:numPr>
          <w:ilvl w:val="0"/>
          <w:numId w:val="1007"/>
        </w:numPr>
      </w:pPr>
      <w:r>
        <w:rPr>
          <w:b/>
          <w:bCs/>
          <w:i/>
          <w:iCs/>
        </w:rPr>
        <w:t xml:space="preserve">“Is it on track?”</w:t>
      </w:r>
      <w:r>
        <w:t xml:space="preserve"> </w:t>
      </w:r>
      <w:r>
        <w:t xml:space="preserve">Yes, and the remaining work is small and named. The</w:t>
      </w:r>
      <w:r>
        <w:t xml:space="preserve"> </w:t>
      </w:r>
      <w:r>
        <w:t xml:space="preserve">features are built. What’s left (Section 4) is ICJIA’s own setup (three steps), a</w:t>
      </w:r>
      <w:r>
        <w:t xml:space="preserve"> </w:t>
      </w:r>
      <w:r>
        <w:t xml:space="preserve">joint go-live rehearsal, and one piece of cleanup — not new construction and not</w:t>
      </w:r>
      <w:r>
        <w:t xml:space="preserve"> </w:t>
      </w:r>
      <w:r>
        <w:t xml:space="preserve">unknowns. The honest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A note in the interest of being straight with you: during development only, there</w:t>
      </w:r>
      <w:r>
        <w:t xml:space="preserve"> </w:t>
      </w:r>
      <w:r>
        <w:t xml:space="preserve">is a temporary local convenience login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demo login this</w:t>
      </w:r>
      <w:r>
        <w:t xml:space="preserve"> </w:t>
      </w:r>
      <w:r>
        <w:t xml:space="preserve">document keeps pointing you to. It lets a person open the tool without a full</w:t>
      </w:r>
      <w:r>
        <w:t xml:space="preserve"> </w:t>
      </w:r>
      <w:r>
        <w:t xml:space="preserve">account so the workflow can be shown and checked. It is</w:t>
      </w:r>
      <w:r>
        <w:t xml:space="preserve"> </w:t>
      </w:r>
      <w:r>
        <w:rPr>
          <w:b/>
          <w:bCs/>
        </w:rPr>
        <w:t xml:space="preserve">inert in any real build</w:t>
      </w:r>
      <w:r>
        <w:t xml:space="preserve"> </w:t>
      </w:r>
      <w:r>
        <w:t xml:space="preserve">(the code that creates it is stripped out when the production version is made, and</w:t>
      </w:r>
      <w:r>
        <w:t xml:space="preserve"> </w:t>
      </w:r>
      <w:r>
        <w:t xml:space="preserve">its credential is a dummy the content system will never accept), it grants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access to live data</w:t>
      </w:r>
      <w:r>
        <w:t xml:space="preserve">, and it is</w:t>
      </w:r>
      <w:r>
        <w:t xml:space="preserve"> </w:t>
      </w:r>
      <w:r>
        <w:rPr>
          <w:b/>
          <w:bCs/>
        </w:rPr>
        <w:t xml:space="preserve">removed entirely before launch</w:t>
      </w:r>
      <w:r>
        <w:t xml:space="preserve"> </w:t>
      </w:r>
      <w:r>
        <w:t xml:space="preserve">(step 5 of the</w:t>
      </w:r>
      <w:r>
        <w:t xml:space="preserve"> </w:t>
      </w:r>
      <w:r>
        <w:t xml:space="preserve">roadmap). It is called out here, and in the roadmap, so the record is complete —</w:t>
      </w:r>
      <w:r>
        <w:t xml:space="preserve"> </w:t>
      </w:r>
      <w:r>
        <w:t xml:space="preserve">not because it presents any risk to live information.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ecurity-independent-audit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Strapi’s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shouldn’t.</w:t>
      </w:r>
    </w:p>
    <w:p>
      <w:pPr>
        <w:pStyle w:val="BodyText"/>
      </w:pPr>
      <w:r>
        <w:rPr>
          <w:b/>
          <w:bCs/>
        </w:rPr>
        <w:t xml:space="preserve">Independent red / blue team audit (2026-06-21).</w:t>
      </w:r>
      <w:r>
        <w:t xml:space="preserve"> </w:t>
      </w:r>
      <w:r>
        <w:t xml:space="preserve">A full adversarial review</w:t>
      </w:r>
      <w:r>
        <w:t xml:space="preserve"> </w:t>
      </w:r>
      <w:r>
        <w:t xml:space="preserve">(try-to-break-it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verify-the-defenses) found</w:t>
      </w:r>
      <w:r>
        <w:t xml:space="preserve"> </w:t>
      </w:r>
      <w:r>
        <w:rPr>
          <w:b/>
          <w:bCs/>
        </w:rPr>
        <w:t xml:space="preserve">zero critical issues</w:t>
      </w:r>
      <w:r>
        <w:t xml:space="preserve"> </w:t>
      </w:r>
      <w:r>
        <w:t xml:space="preserve">and</w:t>
      </w:r>
      <w:r>
        <w:t xml:space="preserve"> </w:t>
      </w:r>
      <w:r>
        <w:t xml:space="preserve">nothing exploitable in the production path. The graded findings were hardening</w:t>
      </w:r>
      <w:r>
        <w:t xml:space="preserve"> </w:t>
      </w:r>
      <w:r>
        <w:t xml:space="preserve">items, not holes — and</w:t>
      </w:r>
      <w:r>
        <w:t xml:space="preserve"> </w:t>
      </w:r>
      <w:r>
        <w:rPr>
          <w:b/>
          <w:bCs/>
        </w:rPr>
        <w:t xml:space="preserve">every in-repo finding is now fixed and covered by</w:t>
      </w:r>
      <w:r>
        <w:rPr>
          <w:b/>
          <w:bCs/>
        </w:rPr>
        <w:t xml:space="preserve"> </w:t>
      </w:r>
      <w:r>
        <w:rPr>
          <w:b/>
          <w:bCs/>
        </w:rPr>
        <w:t xml:space="preserve">automated tests (375 of them)</w:t>
      </w:r>
      <w:r>
        <w:t xml:space="preserve">. The full report lives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docs/security-audit.md</w:t>
      </w:r>
      <w:r>
        <w:t xml:space="preserve">), and the README keeps a running log of every audit so</w:t>
      </w:r>
      <w:r>
        <w:t xml:space="preserve"> </w:t>
      </w:r>
      <w:r>
        <w:t xml:space="preserve">the review history is visible at a glance.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Receipt: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demo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 / admin</w:t>
      </w:r>
      <w:r>
        <w:t xml:space="preserve">) is a deliberate development/demo convenience</w:t>
      </w:r>
      <w:r>
        <w:t xml:space="preserve"> </w:t>
      </w:r>
      <w:r>
        <w:t xml:space="preserve">that is automatically removed from the production build; it is labeled as such on</w:t>
      </w:r>
      <w:r>
        <w:t xml:space="preserve"> </w:t>
      </w:r>
      <w:r>
        <w:t xml:space="preserve">the sign-in screen and documented in the audit.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Strapi staff accounts.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confirm the security headers / CSP on a deploy preview, set</w:t>
      </w:r>
      <w:r>
        <w:t xml:space="preserve"> </w:t>
      </w:r>
      <w:r>
        <w:t xml:space="preserve">the email + publish keys, verify Strapi’s role permissions, and remove the demo</w:t>
      </w:r>
      <w:r>
        <w:t xml:space="preserve"> </w:t>
      </w:r>
      <w:r>
        <w:t xml:space="preserve">login — a short, documented checklist.</w:t>
      </w:r>
    </w:p>
    <w:p>
      <w:r>
        <w:pict>
          <v:rect style="width:0;height:1.5pt" o:hralign="center" o:hrstd="t" o:hr="t"/>
        </w:pict>
      </w:r>
    </w:p>
    <w:bookmarkEnd w:id="34"/>
    <w:bookmarkStart w:id="42" w:name="appendix-for-the-technically-curious"/>
    <w:p>
      <w:pPr>
        <w:pStyle w:val="Heading2"/>
      </w:pPr>
      <w:r>
        <w:t xml:space="preserve">7. Appendix — for the technically curious</w:t>
      </w:r>
    </w:p>
    <w:p>
      <w:pPr>
        <w:pStyle w:val="FirstParagraph"/>
      </w:pPr>
      <w:r>
        <w:rPr>
          <w:i/>
          <w:iCs/>
        </w:rPr>
        <w:t xml:space="preserve">This appendix is optional. Everything a non-technical reader needs is in Sections</w:t>
      </w:r>
      <w:r>
        <w:rPr>
          <w:i/>
          <w:iCs/>
        </w:rPr>
        <w:t xml:space="preserve"> </w:t>
      </w:r>
      <w:r>
        <w:rPr>
          <w:i/>
          <w:iCs/>
        </w:rPr>
        <w:t xml:space="preserve">1–6. What follows condenses the architecture and the implementation plan for</w:t>
      </w:r>
      <w:r>
        <w:rPr>
          <w:i/>
          <w:iCs/>
        </w:rPr>
        <w:t xml:space="preserve"> </w:t>
      </w:r>
      <w:r>
        <w:rPr>
          <w:i/>
          <w:iCs/>
        </w:rPr>
        <w:t xml:space="preserve">readers who want the deeper detail, and is where the remaining technical terms</w:t>
      </w:r>
      <w:r>
        <w:rPr>
          <w:i/>
          <w:iCs/>
        </w:rPr>
        <w:t xml:space="preserve"> </w:t>
      </w:r>
      <w:r>
        <w:rPr>
          <w:i/>
          <w:iCs/>
        </w:rPr>
        <w:t xml:space="preserve">live.</w:t>
      </w:r>
    </w:p>
    <w:bookmarkStart w:id="35" w:name="at-a-glance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“doors.”</w:t>
      </w:r>
      <w:r>
        <w:t xml:space="preserve"> </w:t>
      </w:r>
      <w:r>
        <w:t xml:space="preserve">Staff are administrative users of Strapi, and Strapi’s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system’s native draft/published distinction is the single</w:t>
      </w:r>
      <w:r>
        <w:t xml:space="preserve"> </w:t>
      </w:r>
      <w:r>
        <w:t xml:space="preserve">source of truth for what is live.</w:t>
      </w:r>
    </w:p>
    <w:bookmarkEnd w:id="35"/>
    <w:bookmarkStart w:id="36" w:name="the-end-to-end-lifecycle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intended flow, end to end (publishing and review email are planned; drafting,</w:t>
      </w:r>
      <w:r>
        <w:t xml:space="preserve"> </w:t>
      </w:r>
      <w:r>
        <w:t xml:space="preserve">the save-gate, and preview are built):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36"/>
    <w:bookmarkStart w:id="37" w:name="why-a-rebuild-old-tool-new-studio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 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 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Studio’s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37"/>
    <w:bookmarkStart w:id="38" w:name="what-is-built-in-technical-terms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5’s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system’s shape and the application’s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dataset’s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draft’s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38"/>
    <w:bookmarkStart w:id="39" w:name="what-is-planned-in-technical-terms"/>
    <w:p>
      <w:pPr>
        <w:pStyle w:val="Heading3"/>
      </w:pPr>
      <w:r>
        <w:t xml:space="preserve">7.5 What is planned, in technical terms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Authoring editor.</w:t>
      </w:r>
      <w:r>
        <w:t xml:space="preserve"> </w:t>
      </w:r>
      <w:r>
        <w:t xml:space="preserve">Adapt the existing ICJIA Markdown Editor as a shared,</w:t>
      </w:r>
      <w:r>
        <w:t xml:space="preserve"> </w:t>
      </w:r>
      <w:r>
        <w:t xml:space="preserve">reusable building block, and add the one capability it lacks: an image-upload</w:t>
      </w:r>
      <w:r>
        <w:t xml:space="preserve"> </w:t>
      </w:r>
      <w:r>
        <w:t xml:space="preserve">hook wired to the built image layer. Markdown-source editing with live preview is</w:t>
      </w:r>
      <w:r>
        <w:t xml:space="preserve"> </w:t>
      </w:r>
      <w:r>
        <w:t xml:space="preserve">retained (rather than a lossy rich-text conversion) so footnotes, mathematical</w:t>
      </w:r>
      <w:r>
        <w:t xml:space="preserve"> </w:t>
      </w:r>
      <w:r>
        <w:t xml:space="preserve">notation, and complex tables round-trip faithfully. The editor slots into the</w:t>
      </w:r>
      <w:r>
        <w:t xml:space="preserve"> </w:t>
      </w:r>
      <w:r>
        <w:t xml:space="preserve">existing body-editing seam without disturbing the surrounding forms.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Publish, rebuild &amp; review email.</w:t>
      </w:r>
      <w:r>
        <w:t xml:space="preserve"> </w:t>
      </w:r>
      <w:r>
        <w:t xml:space="preserve">A publisher-only publish action;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proxy that holds the public-site rebuild trigger secret, verifies</w:t>
      </w:r>
      <w:r>
        <w:t xml:space="preserve"> </w:t>
      </w:r>
      <w:r>
        <w:t xml:space="preserve">the caller is actually a publisher, then fires the rebuild; and a server-side</w:t>
      </w:r>
      <w:r>
        <w:t xml:space="preserve"> </w:t>
      </w:r>
      <w:r>
        <w:t xml:space="preserve">email step that holds the email-service credential and sends the reviewer a</w:t>
      </w:r>
      <w:r>
        <w:t xml:space="preserve"> </w:t>
      </w:r>
      <w:r>
        <w:t xml:space="preserve">preview link. Because publishing is two steps in two systems, the awkward middle</w:t>
      </w:r>
      <w:r>
        <w:t xml:space="preserve"> </w:t>
      </w:r>
      <w:r>
        <w:t xml:space="preserve">case — content live but rebuild not triggered — is reported as its own distinct</w:t>
      </w:r>
      <w:r>
        <w:t xml:space="preserve"> </w:t>
      </w:r>
      <w:r>
        <w:t xml:space="preserve">outcome rather than a flat success or failure. The reason these need a sliver of</w:t>
      </w:r>
      <w:r>
        <w:t xml:space="preserve"> </w:t>
      </w:r>
      <w:r>
        <w:t xml:space="preserve">server-side code is that each depends on a secret the browser cannot be trusted</w:t>
      </w:r>
      <w:r>
        <w:t xml:space="preserve"> </w:t>
      </w:r>
      <w:r>
        <w:t xml:space="preserve">to hold.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Onboarding.</w:t>
      </w:r>
      <w:r>
        <w:t xml:space="preserve"> </w:t>
      </w:r>
      <w:r>
        <w:t xml:space="preserve">A first-login profile (reviewer email(s), the staff member’s</w:t>
      </w:r>
      <w:r>
        <w:t xml:space="preserve"> </w:t>
      </w:r>
      <w:r>
        <w:t xml:space="preserve">center, and a prefilled author email) stored in a small, approved addition to the</w:t>
      </w:r>
      <w:r>
        <w:t xml:space="preserve"> </w:t>
      </w:r>
      <w:r>
        <w:t xml:space="preserve">content system, with the rest of the tool gated closed until the profile exists.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Polish, accessibility &amp; launch.</w:t>
      </w:r>
      <w:r>
        <w:t xml:space="preserve"> </w:t>
      </w:r>
      <w:r>
        <w:t xml:space="preserve">An accessibility hardening pass focused on</w:t>
      </w:r>
      <w:r>
        <w:t xml:space="preserve"> </w:t>
      </w:r>
      <w:r>
        <w:t xml:space="preserve">the approver queue and the authoring forms, central error normalization, an</w:t>
      </w:r>
      <w:r>
        <w:t xml:space="preserve"> </w:t>
      </w:r>
      <w:r>
        <w:t xml:space="preserve">end-to-end happy-path test, deployment configuration, removal of the temporary</w:t>
      </w:r>
      <w:r>
        <w:t xml:space="preserve"> </w:t>
      </w:r>
      <w:r>
        <w:t xml:space="preserve">development-only login, and a one-click</w:t>
      </w:r>
      <w:r>
        <w:t xml:space="preserve"> </w:t>
      </w:r>
      <w:r>
        <w:t xml:space="preserve">“sample article”</w:t>
      </w:r>
      <w:r>
        <w:t xml:space="preserve"> </w:t>
      </w:r>
      <w:r>
        <w:t xml:space="preserve">demo.</w:t>
      </w:r>
    </w:p>
    <w:bookmarkEnd w:id="39"/>
    <w:bookmarkStart w:id="40" w:name="open-items-being-tracked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page’s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 pixel-identical 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Built behind one swappable stylesheet; drop in the official styling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system’s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0"/>
    <w:bookmarkStart w:id="41" w:name="glossary"/>
    <w:p>
      <w:pPr>
        <w:pStyle w:val="Heading3"/>
      </w:pPr>
      <w:r>
        <w:t xml:space="preserve">7.7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system’s administrative</w:t>
            </w:r>
            <w:r>
              <w:t xml:space="preserve"> </w:t>
            </w:r>
            <w:r>
              <w:t xml:space="preserve">“door,”</w:t>
            </w:r>
            <w:r>
              <w:t xml:space="preserve"> </w:t>
            </w:r>
            <w:r>
              <w:t xml:space="preserve">which natively enforces who-can-publish by each staff member’s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The content system’s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“doorbell”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team’s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The Studio is feature-complete in the workshop; this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will evolve as the remaining setup and go-live steps in Section 4 are completed.</w:t>
      </w:r>
      <w:r>
        <w:rPr>
          <w:i/>
          <w:iCs/>
        </w:rPr>
        <w:t xml:space="preserve"> </w:t>
      </w:r>
      <w:r>
        <w:rPr>
          <w:i/>
          <w:iCs/>
        </w:rPr>
        <w:t xml:space="preserve">Nothing described here is live to the public yet.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2026-06-21T16:27:47Z</dcterms:created>
  <dcterms:modified xsi:type="dcterms:W3CDTF">2026-06-21T16:27:47Z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