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714D97FE" w:rsidR="0061571E" w:rsidRDefault="52815C8D" w:rsidP="49AF3919">
      <w:pPr>
        <w:jc w:val="center"/>
      </w:pPr>
      <w:r>
        <w:rPr>
          <w:noProof/>
        </w:rPr>
        <w:drawing>
          <wp:inline distT="0" distB="0" distL="0" distR="0" wp14:anchorId="0647F539" wp14:editId="3ACA2CA9">
            <wp:extent cx="1085850" cy="790782"/>
            <wp:effectExtent l="0" t="0" r="0" b="0"/>
            <wp:docPr id="851563908" name="Picture 851563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790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C091" w14:textId="63240C75" w:rsidR="49AF3919" w:rsidRDefault="52815C8D" w:rsidP="64334A16">
      <w:pPr>
        <w:spacing w:after="0" w:afterAutospacing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4334A1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Illinois Criminal Justice Information Authority</w:t>
      </w:r>
    </w:p>
    <w:p w14:paraId="32EC271F" w14:textId="5CA935D2" w:rsidR="72BE858A" w:rsidRDefault="72BE858A" w:rsidP="64334A1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811531" w14:textId="6A724869" w:rsidR="72BE858A" w:rsidRDefault="72BE858A" w:rsidP="64334A1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64334A1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Minutes</w:t>
      </w:r>
    </w:p>
    <w:p w14:paraId="3136097C" w14:textId="2F365839" w:rsidR="49AF3919" w:rsidRDefault="63FCCCC8" w:rsidP="119A656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19A656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Traffic and Pedestrian Stop Data Use and Collection Task Force</w:t>
      </w:r>
      <w:r w:rsidR="1D0BF5A5" w:rsidRPr="119A656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Meeting</w:t>
      </w:r>
    </w:p>
    <w:p w14:paraId="4E9EED06" w14:textId="5F1F7B9B" w:rsidR="49AF3919" w:rsidRDefault="3D7958FC" w:rsidP="756027F5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Pursuant to section (h-1) of the Traffic and Pedestrian Stop Statistical Study 625 ILCS 5/11-212 (h-1), P.A. 101-24</w:t>
      </w:r>
    </w:p>
    <w:p w14:paraId="2F0E1E9C" w14:textId="30B9EE51" w:rsidR="49AF3919" w:rsidRDefault="49AF3919" w:rsidP="119A656B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B152F2" w14:textId="1B45D349" w:rsidR="49AF3919" w:rsidRDefault="3D7958FC" w:rsidP="119A656B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19A65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Wednesday, September 23, 2020</w:t>
      </w:r>
    </w:p>
    <w:p w14:paraId="1ED12776" w14:textId="1FEFED6F" w:rsidR="49AF3919" w:rsidRDefault="3D7958FC" w:rsidP="119A656B">
      <w:pPr>
        <w:spacing w:after="12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19A65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1:30pm – 3:00pm</w:t>
      </w:r>
    </w:p>
    <w:p w14:paraId="0C71042C" w14:textId="3EB93098" w:rsidR="49AF3919" w:rsidRDefault="3D7958FC" w:rsidP="119A656B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119A656B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Location</w:t>
      </w:r>
    </w:p>
    <w:p w14:paraId="5E084020" w14:textId="30864A37" w:rsidR="49AF3919" w:rsidRDefault="3D7958FC" w:rsidP="119A656B">
      <w:pPr>
        <w:spacing w:after="36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19A656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Via WebEx Video Conference/Teleconference</w:t>
      </w:r>
    </w:p>
    <w:p w14:paraId="5CC3F371" w14:textId="411C12D9" w:rsidR="49AF3919" w:rsidRDefault="762AC0D2" w:rsidP="119A656B">
      <w:pPr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119A656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Call to Order and Roll Call</w:t>
      </w:r>
    </w:p>
    <w:p w14:paraId="5F3BCE04" w14:textId="304F50B2" w:rsidR="49AF3919" w:rsidRDefault="54CC9C26" w:rsidP="756027F5">
      <w:pPr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After a br</w:t>
      </w:r>
      <w:r w:rsidR="277970DA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</w:t>
      </w:r>
      <w:r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 introduction</w:t>
      </w:r>
      <w:r w:rsidR="7CCD16BB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the meeting,</w:t>
      </w:r>
      <w:r w:rsidR="168544F2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Acting Research Director</w:t>
      </w:r>
      <w:r w:rsidR="18745F17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Jessica Reichert</w:t>
      </w:r>
      <w:r w:rsidR="611403E5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 ICJIA</w:t>
      </w:r>
      <w:r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asked</w:t>
      </w:r>
      <w:r w:rsidR="5137AF78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General Counsel</w:t>
      </w:r>
      <w:r w:rsidR="4FF7EC01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5FBD0FB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Dawn English</w:t>
      </w:r>
      <w:r w:rsidR="65CF642B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 ICJIA</w:t>
      </w:r>
      <w:r w:rsidR="55FBD0FB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5C0167BD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call</w:t>
      </w:r>
      <w:r w:rsidR="55FBD0FB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meeting to order at 1:30</w:t>
      </w:r>
      <w:r w:rsidR="499E0ACA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p.m. and</w:t>
      </w:r>
      <w:r w:rsidR="5C3984D4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call the roll.</w:t>
      </w:r>
      <w:r w:rsidR="424AD8EA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Quorum was achieved.</w:t>
      </w:r>
    </w:p>
    <w:p w14:paraId="38B0D06F" w14:textId="7CEA1BA2" w:rsidR="65785DB3" w:rsidRDefault="65785DB3" w:rsidP="756027F5">
      <w:pPr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56027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Attendees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5805"/>
        <w:gridCol w:w="1080"/>
        <w:gridCol w:w="1410"/>
        <w:gridCol w:w="1065"/>
      </w:tblGrid>
      <w:tr w:rsidR="756027F5" w14:paraId="502F7E97" w14:textId="77777777" w:rsidTr="006B68F8">
        <w:tc>
          <w:tcPr>
            <w:tcW w:w="5805" w:type="dxa"/>
            <w:shd w:val="clear" w:color="auto" w:fill="D0CECE" w:themeFill="background2" w:themeFillShade="E6"/>
          </w:tcPr>
          <w:p w14:paraId="3F104C78" w14:textId="4AB17A75" w:rsidR="6D8CE879" w:rsidRDefault="6D8CE879" w:rsidP="756027F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6027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Task Force Member Attendance</w:t>
            </w:r>
          </w:p>
        </w:tc>
        <w:tc>
          <w:tcPr>
            <w:tcW w:w="1080" w:type="dxa"/>
            <w:shd w:val="clear" w:color="auto" w:fill="D0CECE" w:themeFill="background2" w:themeFillShade="E6"/>
          </w:tcPr>
          <w:p w14:paraId="2174BCCD" w14:textId="533593AF" w:rsidR="177D8925" w:rsidRDefault="177D8925" w:rsidP="756027F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6027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Present</w:t>
            </w:r>
          </w:p>
        </w:tc>
        <w:tc>
          <w:tcPr>
            <w:tcW w:w="1410" w:type="dxa"/>
            <w:shd w:val="clear" w:color="auto" w:fill="D0CECE" w:themeFill="background2" w:themeFillShade="E6"/>
          </w:tcPr>
          <w:p w14:paraId="44792FE2" w14:textId="35F277DE" w:rsidR="177D8925" w:rsidRDefault="177D8925" w:rsidP="756027F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6027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Telephon</w:t>
            </w:r>
            <w:r w:rsidR="4F4990F0" w:rsidRPr="756027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1065" w:type="dxa"/>
            <w:shd w:val="clear" w:color="auto" w:fill="D0CECE" w:themeFill="background2" w:themeFillShade="E6"/>
          </w:tcPr>
          <w:p w14:paraId="7D3271A9" w14:textId="28E8110E" w:rsidR="4F4990F0" w:rsidRDefault="4F4990F0" w:rsidP="756027F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6027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Absent</w:t>
            </w:r>
          </w:p>
        </w:tc>
      </w:tr>
      <w:tr w:rsidR="756027F5" w14:paraId="1CDE7A3A" w14:textId="77777777" w:rsidTr="006B68F8">
        <w:tc>
          <w:tcPr>
            <w:tcW w:w="5805" w:type="dxa"/>
          </w:tcPr>
          <w:p w14:paraId="0A92E268" w14:textId="2DC2AE78" w:rsidR="177D8925" w:rsidRDefault="177D8925" w:rsidP="756027F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6027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Assistant Professor Felipe Goncalves, UCLA</w:t>
            </w:r>
          </w:p>
        </w:tc>
        <w:tc>
          <w:tcPr>
            <w:tcW w:w="1080" w:type="dxa"/>
          </w:tcPr>
          <w:p w14:paraId="480A707F" w14:textId="6F3A8EF1" w:rsidR="75312DD6" w:rsidRDefault="75312DD6" w:rsidP="756027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6027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10" w:type="dxa"/>
          </w:tcPr>
          <w:p w14:paraId="4AF53411" w14:textId="4CAABF4C" w:rsidR="756027F5" w:rsidRDefault="756027F5" w:rsidP="006B68F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5" w:type="dxa"/>
          </w:tcPr>
          <w:p w14:paraId="0A1E7C12" w14:textId="4CAABF4C" w:rsidR="756027F5" w:rsidRDefault="756027F5" w:rsidP="756027F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56027F5" w14:paraId="1EE6F5A4" w14:textId="77777777" w:rsidTr="006B68F8">
        <w:tc>
          <w:tcPr>
            <w:tcW w:w="5805" w:type="dxa"/>
          </w:tcPr>
          <w:p w14:paraId="5D23C43B" w14:textId="607BD22C" w:rsidR="177D8925" w:rsidRDefault="177D8925" w:rsidP="756027F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6027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Professor Jack McDevitt, Northeastern University</w:t>
            </w:r>
          </w:p>
        </w:tc>
        <w:tc>
          <w:tcPr>
            <w:tcW w:w="1080" w:type="dxa"/>
          </w:tcPr>
          <w:p w14:paraId="1058968F" w14:textId="34C43218" w:rsidR="51088163" w:rsidRDefault="51088163" w:rsidP="756027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6027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10" w:type="dxa"/>
          </w:tcPr>
          <w:p w14:paraId="0D538C81" w14:textId="4CAABF4C" w:rsidR="756027F5" w:rsidRDefault="756027F5" w:rsidP="006B68F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5" w:type="dxa"/>
          </w:tcPr>
          <w:p w14:paraId="49587AA9" w14:textId="4CAABF4C" w:rsidR="756027F5" w:rsidRDefault="756027F5" w:rsidP="756027F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56027F5" w14:paraId="64E301CD" w14:textId="77777777" w:rsidTr="006B68F8">
        <w:tc>
          <w:tcPr>
            <w:tcW w:w="5805" w:type="dxa"/>
          </w:tcPr>
          <w:p w14:paraId="4E632215" w14:textId="48F4516D" w:rsidR="31232786" w:rsidRDefault="31232786" w:rsidP="756027F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6027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Colonel Isaiah Vega, Illinois State Police</w:t>
            </w:r>
          </w:p>
        </w:tc>
        <w:tc>
          <w:tcPr>
            <w:tcW w:w="1080" w:type="dxa"/>
          </w:tcPr>
          <w:p w14:paraId="72A7EBEB" w14:textId="537DAE77" w:rsidR="66A40344" w:rsidRDefault="66A40344" w:rsidP="756027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6027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10" w:type="dxa"/>
          </w:tcPr>
          <w:p w14:paraId="1EC40C44" w14:textId="4CAABF4C" w:rsidR="756027F5" w:rsidRDefault="756027F5" w:rsidP="006B68F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5" w:type="dxa"/>
          </w:tcPr>
          <w:p w14:paraId="46987D56" w14:textId="4CAABF4C" w:rsidR="756027F5" w:rsidRDefault="756027F5" w:rsidP="756027F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56027F5" w14:paraId="08C36DE6" w14:textId="77777777" w:rsidTr="006B68F8">
        <w:tc>
          <w:tcPr>
            <w:tcW w:w="5805" w:type="dxa"/>
          </w:tcPr>
          <w:p w14:paraId="512E6E13" w14:textId="6178EC66" w:rsidR="31232786" w:rsidRDefault="31232786" w:rsidP="756027F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6027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Deputy Chief Sabih Khan, Chicago Police Department</w:t>
            </w:r>
          </w:p>
        </w:tc>
        <w:tc>
          <w:tcPr>
            <w:tcW w:w="1080" w:type="dxa"/>
          </w:tcPr>
          <w:p w14:paraId="402808AF" w14:textId="7D9D5F99" w:rsidR="5F5E87B3" w:rsidRDefault="5F5E87B3" w:rsidP="756027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6027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10" w:type="dxa"/>
          </w:tcPr>
          <w:p w14:paraId="5DD40799" w14:textId="4CAABF4C" w:rsidR="756027F5" w:rsidRDefault="756027F5" w:rsidP="006B68F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E27CF48" w14:textId="4CAABF4C" w:rsidR="756027F5" w:rsidRDefault="756027F5" w:rsidP="756027F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56027F5" w14:paraId="05B0F2D4" w14:textId="77777777" w:rsidTr="006B68F8">
        <w:tc>
          <w:tcPr>
            <w:tcW w:w="5805" w:type="dxa"/>
          </w:tcPr>
          <w:p w14:paraId="18F32DF6" w14:textId="609A0975" w:rsidR="0DF5A680" w:rsidRDefault="0DF5A680" w:rsidP="756027F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6027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Chief Steven </w:t>
            </w:r>
            <w:proofErr w:type="spellStart"/>
            <w:r w:rsidRPr="756027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Stelter</w:t>
            </w:r>
            <w:proofErr w:type="spellEnd"/>
            <w:r w:rsidRPr="756027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, Illinois Assoc. of Chiefs of Police</w:t>
            </w:r>
          </w:p>
        </w:tc>
        <w:tc>
          <w:tcPr>
            <w:tcW w:w="1080" w:type="dxa"/>
          </w:tcPr>
          <w:p w14:paraId="0A11595A" w14:textId="48E9E027" w:rsidR="06753F36" w:rsidRDefault="06753F36" w:rsidP="756027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6027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10" w:type="dxa"/>
          </w:tcPr>
          <w:p w14:paraId="42659DA1" w14:textId="4CAABF4C" w:rsidR="756027F5" w:rsidRDefault="756027F5" w:rsidP="006B68F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5" w:type="dxa"/>
          </w:tcPr>
          <w:p w14:paraId="4A424F04" w14:textId="4CAABF4C" w:rsidR="756027F5" w:rsidRDefault="756027F5" w:rsidP="756027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56027F5" w14:paraId="19BC282A" w14:textId="77777777" w:rsidTr="006B68F8">
        <w:tc>
          <w:tcPr>
            <w:tcW w:w="5805" w:type="dxa"/>
          </w:tcPr>
          <w:p w14:paraId="7CD9D9EA" w14:textId="411DE079" w:rsidR="0DF5A680" w:rsidRDefault="0DF5A680" w:rsidP="756027F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6027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Director Jim Kaitschuk, Illinois Sheriffs’ Assoc.</w:t>
            </w:r>
          </w:p>
        </w:tc>
        <w:tc>
          <w:tcPr>
            <w:tcW w:w="1080" w:type="dxa"/>
          </w:tcPr>
          <w:p w14:paraId="567B79C2" w14:textId="4841C1B4" w:rsidR="756027F5" w:rsidRDefault="00827965" w:rsidP="756027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10" w:type="dxa"/>
          </w:tcPr>
          <w:p w14:paraId="06531A5A" w14:textId="4CAABF4C" w:rsidR="756027F5" w:rsidRDefault="756027F5" w:rsidP="006B68F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5" w:type="dxa"/>
          </w:tcPr>
          <w:p w14:paraId="24D410EA" w14:textId="2A563526" w:rsidR="3766B030" w:rsidRDefault="3766B030" w:rsidP="756027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56027F5" w14:paraId="13EA9620" w14:textId="77777777" w:rsidTr="006B68F8">
        <w:tc>
          <w:tcPr>
            <w:tcW w:w="5805" w:type="dxa"/>
          </w:tcPr>
          <w:p w14:paraId="2D93D31E" w14:textId="72AE0ACB" w:rsidR="0DF5A680" w:rsidRDefault="0DF5A680" w:rsidP="756027F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6027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Second Vice President Dan Gorman, Chicago FOP</w:t>
            </w:r>
          </w:p>
        </w:tc>
        <w:tc>
          <w:tcPr>
            <w:tcW w:w="1080" w:type="dxa"/>
          </w:tcPr>
          <w:p w14:paraId="3DB1396A" w14:textId="5E6E27FB" w:rsidR="531793A5" w:rsidRDefault="531793A5" w:rsidP="756027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6027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10" w:type="dxa"/>
          </w:tcPr>
          <w:p w14:paraId="606AC9E0" w14:textId="4CAABF4C" w:rsidR="756027F5" w:rsidRDefault="756027F5" w:rsidP="006B68F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36B4DDD" w14:textId="4CAABF4C" w:rsidR="756027F5" w:rsidRDefault="756027F5" w:rsidP="756027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56027F5" w14:paraId="78BBDCE5" w14:textId="77777777" w:rsidTr="006B68F8">
        <w:tc>
          <w:tcPr>
            <w:tcW w:w="5805" w:type="dxa"/>
          </w:tcPr>
          <w:p w14:paraId="7DD6505D" w14:textId="4FE91885" w:rsidR="0DF5A680" w:rsidRDefault="0DF5A680" w:rsidP="756027F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6027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Second Vice President Keith Turney, Illinois FOP</w:t>
            </w:r>
          </w:p>
        </w:tc>
        <w:tc>
          <w:tcPr>
            <w:tcW w:w="1080" w:type="dxa"/>
          </w:tcPr>
          <w:p w14:paraId="29EC0ECF" w14:textId="0852AD8D" w:rsidR="52515398" w:rsidRDefault="52515398" w:rsidP="756027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6027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10" w:type="dxa"/>
          </w:tcPr>
          <w:p w14:paraId="02871DAE" w14:textId="4CAABF4C" w:rsidR="756027F5" w:rsidRDefault="756027F5" w:rsidP="006B68F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5" w:type="dxa"/>
          </w:tcPr>
          <w:p w14:paraId="56DA4DFB" w14:textId="4CAABF4C" w:rsidR="756027F5" w:rsidRDefault="756027F5" w:rsidP="756027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56027F5" w14:paraId="1F00D2E9" w14:textId="77777777" w:rsidTr="006B68F8">
        <w:tc>
          <w:tcPr>
            <w:tcW w:w="5805" w:type="dxa"/>
          </w:tcPr>
          <w:p w14:paraId="1D49CA92" w14:textId="5660C14A" w:rsidR="0DF5A680" w:rsidRDefault="0DF5A680" w:rsidP="756027F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6027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Director Khadine Bennett, ACLU</w:t>
            </w:r>
          </w:p>
        </w:tc>
        <w:tc>
          <w:tcPr>
            <w:tcW w:w="1080" w:type="dxa"/>
          </w:tcPr>
          <w:p w14:paraId="211E89D5" w14:textId="655916AA" w:rsidR="30066998" w:rsidRDefault="30066998" w:rsidP="756027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6027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410" w:type="dxa"/>
          </w:tcPr>
          <w:p w14:paraId="4EDB0EE5" w14:textId="4CAABF4C" w:rsidR="756027F5" w:rsidRDefault="756027F5" w:rsidP="006B68F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5" w:type="dxa"/>
          </w:tcPr>
          <w:p w14:paraId="352059B6" w14:textId="4CAABF4C" w:rsidR="756027F5" w:rsidRDefault="756027F5" w:rsidP="756027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56027F5" w14:paraId="6A4EF81C" w14:textId="77777777" w:rsidTr="006B68F8">
        <w:tc>
          <w:tcPr>
            <w:tcW w:w="5805" w:type="dxa"/>
          </w:tcPr>
          <w:p w14:paraId="4FC43368" w14:textId="017C0E14" w:rsidR="0DF5A680" w:rsidRDefault="0DF5A680" w:rsidP="756027F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6027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President Teresa Haley, Springfield NAACP</w:t>
            </w:r>
          </w:p>
        </w:tc>
        <w:tc>
          <w:tcPr>
            <w:tcW w:w="1080" w:type="dxa"/>
          </w:tcPr>
          <w:p w14:paraId="41D98E76" w14:textId="27372786" w:rsidR="756027F5" w:rsidRDefault="756027F5" w:rsidP="756027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0" w:type="dxa"/>
          </w:tcPr>
          <w:p w14:paraId="7DC30BE7" w14:textId="13A9FF6F" w:rsidR="756027F5" w:rsidRDefault="006B68F8" w:rsidP="006B68F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  <w:tc>
          <w:tcPr>
            <w:tcW w:w="1065" w:type="dxa"/>
          </w:tcPr>
          <w:p w14:paraId="2A65522D" w14:textId="65C14B2E" w:rsidR="5EAA1A06" w:rsidRDefault="5EAA1A06" w:rsidP="756027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56027F5" w14:paraId="3D847492" w14:textId="77777777" w:rsidTr="006B68F8">
        <w:tc>
          <w:tcPr>
            <w:tcW w:w="5805" w:type="dxa"/>
          </w:tcPr>
          <w:p w14:paraId="0446C4A8" w14:textId="2F5DC0EB" w:rsidR="0DF5A680" w:rsidRDefault="0DF5A680" w:rsidP="756027F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6027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Senior Counsel Fred Tsao, Illinois Coalition for Immigrant and Refugee Rights</w:t>
            </w:r>
          </w:p>
        </w:tc>
        <w:tc>
          <w:tcPr>
            <w:tcW w:w="1080" w:type="dxa"/>
          </w:tcPr>
          <w:p w14:paraId="37344D36" w14:textId="7A01924E" w:rsidR="3DABB6A2" w:rsidRDefault="3DABB6A2" w:rsidP="756027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6027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  <w:p w14:paraId="594BC0EF" w14:textId="459C82D1" w:rsidR="756027F5" w:rsidRDefault="756027F5" w:rsidP="756027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0" w:type="dxa"/>
          </w:tcPr>
          <w:p w14:paraId="65CB1371" w14:textId="4CAABF4C" w:rsidR="756027F5" w:rsidRDefault="756027F5" w:rsidP="006B68F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5" w:type="dxa"/>
          </w:tcPr>
          <w:p w14:paraId="4F1426E7" w14:textId="4CAABF4C" w:rsidR="756027F5" w:rsidRDefault="756027F5" w:rsidP="756027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756027F5" w14:paraId="2E8D50F3" w14:textId="77777777" w:rsidTr="006B68F8">
        <w:tc>
          <w:tcPr>
            <w:tcW w:w="5805" w:type="dxa"/>
          </w:tcPr>
          <w:p w14:paraId="2B536C03" w14:textId="2A276C35" w:rsidR="0DF5A680" w:rsidRDefault="0DF5A680" w:rsidP="756027F5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6027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Director Esther Franco-Payne, Cabrini Green Legal Aid</w:t>
            </w:r>
          </w:p>
        </w:tc>
        <w:tc>
          <w:tcPr>
            <w:tcW w:w="1080" w:type="dxa"/>
          </w:tcPr>
          <w:p w14:paraId="0DA0E1D4" w14:textId="4CAABF4C" w:rsidR="756027F5" w:rsidRDefault="756027F5" w:rsidP="756027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10" w:type="dxa"/>
          </w:tcPr>
          <w:p w14:paraId="5B509DFB" w14:textId="4CAABF4C" w:rsidR="756027F5" w:rsidRDefault="756027F5" w:rsidP="006B68F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65" w:type="dxa"/>
          </w:tcPr>
          <w:p w14:paraId="43796F2B" w14:textId="6ACCCF74" w:rsidR="585051FE" w:rsidRDefault="585051FE" w:rsidP="756027F5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56027F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X</w:t>
            </w:r>
          </w:p>
        </w:tc>
      </w:tr>
    </w:tbl>
    <w:p w14:paraId="139449B9" w14:textId="53AEA82D" w:rsidR="756027F5" w:rsidRDefault="756027F5" w:rsidP="756027F5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6C95CBE" w14:textId="77777777" w:rsidR="006B68F8" w:rsidRDefault="006B68F8" w:rsidP="756027F5">
      <w:pPr>
        <w:spacing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E130A5F" w14:textId="1CCFA16A" w:rsidR="03045551" w:rsidRDefault="006B68F8" w:rsidP="756027F5">
      <w:pPr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Also present were:</w:t>
      </w:r>
    </w:p>
    <w:p w14:paraId="55CCAA31" w14:textId="209B8DCA" w:rsidR="05DC3E7C" w:rsidRDefault="05DC3E7C" w:rsidP="756027F5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Jessica Reichert – </w:t>
      </w:r>
      <w:r w:rsidR="006B6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ICJIA </w:t>
      </w:r>
      <w:r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Acting Research Direc</w:t>
      </w:r>
      <w:r w:rsidR="4EBB436F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tor</w:t>
      </w:r>
    </w:p>
    <w:p w14:paraId="68C7794A" w14:textId="32C481F8" w:rsidR="687A3094" w:rsidRDefault="687A3094" w:rsidP="00D02EC7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Charise Williams – </w:t>
      </w:r>
      <w:r w:rsidR="006B6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ICJIA </w:t>
      </w:r>
      <w:r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Acting Executive Director</w:t>
      </w:r>
    </w:p>
    <w:p w14:paraId="3524B7C0" w14:textId="68E1081C" w:rsidR="687A3094" w:rsidRDefault="687A3094" w:rsidP="00D02EC7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Dawn English – </w:t>
      </w:r>
      <w:r w:rsidR="006B6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ICJIA </w:t>
      </w:r>
      <w:r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General Coun</w:t>
      </w:r>
      <w:r w:rsidR="006B6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</w:t>
      </w:r>
    </w:p>
    <w:p w14:paraId="1EEF96F7" w14:textId="6A08D969" w:rsidR="4EBB436F" w:rsidRDefault="4EBB436F" w:rsidP="00D02EC7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ACA2C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Emilee Green – </w:t>
      </w:r>
      <w:r w:rsidR="006B68F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ICJIA </w:t>
      </w:r>
      <w:r w:rsidRPr="3ACA2C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Research Analyst</w:t>
      </w:r>
    </w:p>
    <w:p w14:paraId="7089759F" w14:textId="774359C9" w:rsidR="00817A59" w:rsidRDefault="00817A59" w:rsidP="00D02EC7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Jessica Keldermans, Illinois Department of Transportation (IDOT)</w:t>
      </w:r>
    </w:p>
    <w:p w14:paraId="6DD85DBE" w14:textId="0B2C8168" w:rsidR="00817A59" w:rsidRDefault="00817A59" w:rsidP="00D02EC7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Nayak Polissar, The Mountain-Whisper-Light Statistics</w:t>
      </w:r>
    </w:p>
    <w:p w14:paraId="4385F2D9" w14:textId="77777777" w:rsidR="00D02EC7" w:rsidRDefault="006B68F8" w:rsidP="00D02EC7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Diamond Jackson, Springfield NAACP</w:t>
      </w:r>
    </w:p>
    <w:p w14:paraId="2ADE01F2" w14:textId="50D0C587" w:rsidR="756027F5" w:rsidRDefault="00D02EC7" w:rsidP="00D02EC7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Lindsay Nicholas, Cabrini Green Legal Aid </w:t>
      </w:r>
    </w:p>
    <w:p w14:paraId="7436A7FA" w14:textId="77777777" w:rsidR="00D02EC7" w:rsidRDefault="00D02EC7" w:rsidP="00D02EC7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1C795B" w14:textId="0C5081A1" w:rsidR="2D47A97D" w:rsidRDefault="2D47A97D" w:rsidP="00D02EC7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756027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Welcoming Remarks</w:t>
      </w:r>
    </w:p>
    <w:p w14:paraId="0789B769" w14:textId="77777777" w:rsidR="00D02EC7" w:rsidRDefault="00D02EC7" w:rsidP="00D02EC7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4C83EA4" w14:textId="6DE74BE2" w:rsidR="7DC77F6C" w:rsidRDefault="7DC77F6C" w:rsidP="756027F5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Ms. Williams </w:t>
      </w:r>
      <w:r w:rsidR="4F8AF729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thanked all members of the </w:t>
      </w:r>
      <w:r w:rsidR="00D02E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Task Force</w:t>
      </w:r>
      <w:r w:rsidR="4F8AF729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attending the virtual meeting. </w:t>
      </w:r>
      <w:r w:rsidR="5B1FD226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She then turn</w:t>
      </w:r>
      <w:r w:rsidR="47C1D560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ed the meeting</w:t>
      </w:r>
      <w:r w:rsidR="5B1FD226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over to </w:t>
      </w:r>
      <w:r w:rsidR="00817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Ms.</w:t>
      </w:r>
      <w:r w:rsidR="5B1FD226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Reichert </w:t>
      </w:r>
      <w:r w:rsidR="2E52402F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some background information on the </w:t>
      </w:r>
      <w:r w:rsidR="00D02E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Task Force</w:t>
      </w:r>
      <w:r w:rsidR="2E52402F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legislation.</w:t>
      </w:r>
    </w:p>
    <w:p w14:paraId="4A6364FB" w14:textId="18087191" w:rsidR="756027F5" w:rsidRDefault="756027F5" w:rsidP="756027F5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978865" w14:textId="4C26B41E" w:rsidR="1080D7F7" w:rsidRDefault="1080D7F7" w:rsidP="756027F5">
      <w:pPr>
        <w:spacing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756027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Legislation and Task Force Overview</w:t>
      </w:r>
    </w:p>
    <w:p w14:paraId="5DC8581E" w14:textId="71A48FBC" w:rsidR="0480D79C" w:rsidRDefault="00817A59" w:rsidP="756027F5">
      <w:pPr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Ms.</w:t>
      </w:r>
      <w:r w:rsidR="0480D79C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Reichert began by introducing </w:t>
      </w:r>
      <w:r w:rsidR="3CF4111D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Illinois Public Act 101 – 0024, 625 ILCS 5/11</w:t>
      </w:r>
      <w:r w:rsidR="17D819EC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- 212 as a reference to use for everyone on the </w:t>
      </w:r>
      <w:r w:rsidR="00D02E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Task Force</w:t>
      </w:r>
      <w:r w:rsidR="17D819EC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400A6E73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She also summarized the two important parts of legislation which are the Traffic and Pedest</w:t>
      </w:r>
      <w:r w:rsidR="2D3653C0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rian Stop Statistical Study and Traffic and Pedestrian Stop Data Use and Collection Task Force.</w:t>
      </w:r>
      <w:r w:rsidR="3AC5D1B2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9203787" w14:textId="5FCF983F" w:rsidR="32A0F13D" w:rsidRDefault="00817A59" w:rsidP="756027F5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Ms.</w:t>
      </w:r>
      <w:r w:rsidR="32A0F13D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Reichert goes on to describe both ICJIA and member role</w:t>
      </w:r>
      <w:r w:rsidR="7718448F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32A0F13D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</w:t>
      </w:r>
      <w:r w:rsidR="00D02E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Task Force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96C9B71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and explains that during the next meeting the </w:t>
      </w:r>
      <w:r w:rsidR="00D02E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Task Force</w:t>
      </w:r>
      <w:r w:rsidR="681CCB39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96C9B71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members will be </w:t>
      </w:r>
      <w:r w:rsidR="3F55824A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asked</w:t>
      </w:r>
      <w:r w:rsidR="696C9B71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vote</w:t>
      </w:r>
      <w:r w:rsidR="7B46965A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nominate</w:t>
      </w:r>
      <w:r w:rsidR="696C9B71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a </w:t>
      </w:r>
      <w:r w:rsidR="00D02E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Task Force</w:t>
      </w:r>
      <w:r w:rsidR="015113A7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696C9B71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chairperson</w:t>
      </w:r>
      <w:r w:rsidR="2310E59F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Ms.</w:t>
      </w:r>
      <w:r w:rsidR="572D8D61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Reichert turns </w:t>
      </w:r>
      <w:r w:rsidR="2F56641B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meeting</w:t>
      </w:r>
      <w:r w:rsidR="572D8D61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over to</w:t>
      </w:r>
      <w:r w:rsidR="559CE290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Ms. Green</w:t>
      </w:r>
      <w:r w:rsidR="572D8D61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</w:t>
      </w:r>
      <w:r w:rsidR="0665A225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brief traffic stop overview.</w:t>
      </w:r>
      <w:r w:rsidR="39FF0CF8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3F73699" w14:textId="4A60D533" w:rsidR="756027F5" w:rsidRDefault="756027F5" w:rsidP="756027F5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3EC578" w14:textId="26F8A296" w:rsidR="4CDE7FED" w:rsidRDefault="4CDE7FED" w:rsidP="756027F5">
      <w:pPr>
        <w:spacing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756027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Traffic Stop Overview</w:t>
      </w:r>
    </w:p>
    <w:p w14:paraId="1C80FEDA" w14:textId="7187AE9D" w:rsidR="1F836050" w:rsidRDefault="1F836050" w:rsidP="756027F5">
      <w:pPr>
        <w:spacing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Ms. Green provides an overview on the research of traffic stops </w:t>
      </w:r>
      <w:r w:rsidR="3B0EAA6A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across the country with Illinois being the main focus.</w:t>
      </w:r>
      <w:r w:rsidR="164E6F57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She examined the extent and cause of racial disparities present in traffic stops.</w:t>
      </w:r>
    </w:p>
    <w:p w14:paraId="7642B668" w14:textId="26CA275D" w:rsidR="52AF1E23" w:rsidRDefault="52AF1E23" w:rsidP="756027F5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Ms. Green concludes </w:t>
      </w:r>
      <w:r w:rsidR="276BE876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by stating </w:t>
      </w:r>
      <w:r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="3627AF34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some research has found evidence of racial bias in traffic stops and follow-up behavior</w:t>
      </w:r>
      <w:r w:rsidR="78E58290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and the </w:t>
      </w:r>
      <w:r w:rsidR="00D02E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Task Force</w:t>
      </w:r>
      <w:r w:rsidR="78E58290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will review the methods used in measuring racial bias in the </w:t>
      </w:r>
      <w:r w:rsidR="342BF43B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2019 IDOT report.</w:t>
      </w:r>
      <w:r w:rsidR="66077B38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She then </w:t>
      </w:r>
      <w:r w:rsidR="0CA4F632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turned the meeting over</w:t>
      </w:r>
      <w:r w:rsidR="66077B38"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 Ms. Kel</w:t>
      </w:r>
      <w:r w:rsidR="00D02E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dermans.</w:t>
      </w:r>
    </w:p>
    <w:p w14:paraId="6C54AF21" w14:textId="7E462105" w:rsidR="00D02EC7" w:rsidRDefault="00D02EC7" w:rsidP="756027F5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6DC961" w14:textId="55C15C92" w:rsidR="00D02EC7" w:rsidRDefault="00D02EC7" w:rsidP="756027F5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Jim Kaitschuk joined the meeting at approximately 1:55 p.m. </w:t>
      </w:r>
    </w:p>
    <w:p w14:paraId="02192E5D" w14:textId="15B239D6" w:rsidR="756027F5" w:rsidRDefault="756027F5" w:rsidP="756027F5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F0D6A64" w14:textId="77777777" w:rsidR="00D02EC7" w:rsidRDefault="00D02EC7" w:rsidP="756027F5">
      <w:pPr>
        <w:spacing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878905C" w14:textId="77777777" w:rsidR="00D02EC7" w:rsidRDefault="00D02EC7" w:rsidP="756027F5">
      <w:pPr>
        <w:spacing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2765F1BA" w14:textId="50B7710B" w:rsidR="4C9C0D57" w:rsidRDefault="4C9C0D57" w:rsidP="756027F5">
      <w:pPr>
        <w:spacing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756027F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Illinois Traffic Stop Data and Reporting</w:t>
      </w:r>
    </w:p>
    <w:p w14:paraId="4874A6DF" w14:textId="7A867CB4" w:rsidR="756027F5" w:rsidRDefault="77FB1821" w:rsidP="5E7F4DCE">
      <w:pPr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Ms. Kelderman</w:t>
      </w:r>
      <w:r w:rsidR="2194C94B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introduces IDOT’s </w:t>
      </w:r>
      <w:r w:rsidR="3E0A5E47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history of involvement with the Traffic and Pedestrian Stop study</w:t>
      </w:r>
      <w:r w:rsidR="500923C3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7166EA99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She then goes on to talk about the multiple ways in which law </w:t>
      </w:r>
      <w:r w:rsidR="62D6C5F8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enforcement</w:t>
      </w:r>
      <w:r w:rsidR="7166EA99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agencies can </w:t>
      </w:r>
      <w:r w:rsidR="7FE6D798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enter their traffic stop data into IDOT’s submission system.</w:t>
      </w:r>
      <w:r w:rsidR="4EFAA8FB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95574DC" w14:textId="00063081" w:rsidR="761E54C5" w:rsidRDefault="761E54C5" w:rsidP="5E7F4DCE">
      <w:pPr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Ms. Keldermans</w:t>
      </w:r>
      <w:r w:rsidR="06083416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talks about a previous Traffic and Pedestrian Stop study</w:t>
      </w:r>
      <w:r w:rsidR="11E09FFD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report</w:t>
      </w:r>
      <w:r w:rsidR="06083416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how the data and other </w:t>
      </w:r>
      <w:r w:rsidR="7EEB7E13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contents are</w:t>
      </w:r>
      <w:r w:rsidR="043F2805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communicated between IDOT and other agencies</w:t>
      </w:r>
      <w:r w:rsidR="00D02E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782A3618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then ultimately finalized and published on the IDOT website.</w:t>
      </w:r>
    </w:p>
    <w:p w14:paraId="00490846" w14:textId="2B5BA5B5" w:rsidR="1F09B414" w:rsidRDefault="1F09B414" w:rsidP="5E7F4DCE">
      <w:pPr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Question was asked for Ms. Keldermans </w:t>
      </w:r>
      <w:r w:rsidR="0D8BD075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of whether</w:t>
      </w:r>
      <w:r w:rsidR="111A270D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driver rate is filled out based on officer’s judgement or based on driver</w:t>
      </w:r>
      <w:r w:rsidR="2BDD6756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’s license. Ms. Kelderman</w:t>
      </w:r>
      <w:r w:rsidR="32611D2F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2BDD6756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stated that it was most likely based on officer’s discretion. </w:t>
      </w:r>
      <w:r w:rsidR="00D02E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</w:t>
      </w:r>
      <w:r w:rsidR="2BDD6756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Polissar confirmed that this is correct.</w:t>
      </w:r>
      <w:r w:rsidR="4B993257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5411C7C" w14:textId="632CFFE1" w:rsidR="11E3EAFA" w:rsidRDefault="00D02EC7" w:rsidP="5E7F4DCE">
      <w:pPr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Dr</w:t>
      </w:r>
      <w:r w:rsidR="11E3EAFA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Goncalves asked a follow-up question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about </w:t>
      </w:r>
      <w:r w:rsidR="1F6DE5FC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whether IDOT</w:t>
      </w:r>
      <w:r w:rsidR="04B19C42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also</w:t>
      </w:r>
      <w:r w:rsidR="1F6DE5FC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maintains record on the driver’s license number of the individual</w:t>
      </w:r>
      <w:r w:rsidR="5EE98A2B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7DC66DDA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7DC66DDA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Kelderman</w:t>
      </w:r>
      <w:r w:rsidR="3066F8ED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7DC66DDA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said that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they do </w:t>
      </w:r>
      <w:r w:rsidR="56776F8C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not for the stop study.</w:t>
      </w:r>
    </w:p>
    <w:p w14:paraId="3CDE2EB3" w14:textId="36BBBC91" w:rsidR="78DAF480" w:rsidRDefault="00D02EC7" w:rsidP="5E7F4DCE">
      <w:pPr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="78DAF480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r. Polissar shows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78DAF480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brief presentation on statistical analysis of traf</w:t>
      </w:r>
      <w:r w:rsidR="7E32194D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fic stop data. </w:t>
      </w:r>
      <w:r w:rsidR="29A09DE9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 goes on to explain some of his own data from The Mountain-Whisper-Light S</w:t>
      </w:r>
      <w:r w:rsidR="05A0F0EB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tatistics</w:t>
      </w:r>
      <w:r w:rsidR="3C65F9FC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05A0F0EB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which shows quite </w:t>
      </w:r>
      <w:r w:rsidR="773CBE09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bit of diversity in traffic</w:t>
      </w:r>
      <w:r w:rsidR="6EA641E0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pedestrian</w:t>
      </w:r>
      <w:r w:rsidR="773CBE09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stops of minority groups </w:t>
      </w:r>
      <w:r w:rsidR="55D7B8E4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 of 2019.</w:t>
      </w:r>
      <w:r w:rsidR="3D341348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addition,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="3D341348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r. Polissar states how important it is for all </w:t>
      </w:r>
      <w:r w:rsidR="20D55319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law enforcement </w:t>
      </w:r>
      <w:r w:rsidR="3D341348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agencies to participate in </w:t>
      </w:r>
      <w:r w:rsidR="3885C578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6142653C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submission</w:t>
      </w:r>
      <w:r w:rsidR="3885C578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their traffic and pedestrian </w:t>
      </w:r>
      <w:r w:rsidR="7E97EF34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stop data in order </w:t>
      </w:r>
      <w:r w:rsidR="5633811C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IDOT and other research organizations </w:t>
      </w:r>
      <w:r w:rsidR="1EF265FD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 more effectively be able to pinpoint racial profiling instances</w:t>
      </w:r>
      <w:r w:rsidR="4B66F3C9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these contexts. </w:t>
      </w:r>
    </w:p>
    <w:p w14:paraId="75C6348C" w14:textId="5C0A287C" w:rsidR="71350FBD" w:rsidRDefault="00D02EC7" w:rsidP="5E7F4DCE">
      <w:pPr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="71350FBD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r. Goncalves asks </w:t>
      </w:r>
      <w:r w:rsidR="34DBF4B4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r w:rsidR="31BF6013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71350FBD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these traffic</w:t>
      </w:r>
      <w:r w:rsidR="797360E6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pedestrian stop ratios had been calculated for specific age groups (young people), </w:t>
      </w:r>
      <w:r w:rsidR="6E52C2FF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that this might lead</w:t>
      </w:r>
      <w:r w:rsidR="797360E6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</w:t>
      </w:r>
      <w:r w:rsidR="735104EF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ge distribution </w:t>
      </w:r>
      <w:r w:rsidR="3A978C92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</w:t>
      </w:r>
      <w:r w:rsidR="735104EF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show var</w:t>
      </w:r>
      <w:r w:rsidR="17DB41BF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iation</w:t>
      </w:r>
      <w:r w:rsidR="735104EF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across races</w:t>
      </w:r>
      <w:r w:rsidR="4AB2C89C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="4AB2C89C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r. Polissar states that this has not been looked at specifically, and it will be considered for future reports.</w:t>
      </w:r>
      <w:r w:rsidR="6F41B78D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4E22314" w14:textId="213A8B08" w:rsidR="6F41B78D" w:rsidRDefault="00D02EC7" w:rsidP="5E7F4DCE">
      <w:pPr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="6F41B78D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r. Goncalves also asks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="6F41B78D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r. Pol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iss</w:t>
      </w:r>
      <w:r w:rsidR="6F41B78D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 if he has a sense of what departments are having significant positive ra</w:t>
      </w:r>
      <w:r w:rsidR="33FB09DD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tios</w:t>
      </w:r>
      <w:r w:rsidR="112DCBD1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</w:t>
      </w:r>
      <w:r w:rsidR="33FB09DD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if it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</w:t>
      </w:r>
      <w:r w:rsidR="33FB09DD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departments across the board</w:t>
      </w:r>
      <w:r w:rsidR="6BD7376C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or some specific share</w:t>
      </w:r>
      <w:r w:rsidR="10E7FD8A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of departments</w:t>
      </w:r>
      <w:r w:rsidR="33FB09DD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</w:t>
      </w:r>
      <w:r w:rsidR="2F3F8C5D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xplaining</w:t>
      </w:r>
      <w:r w:rsidR="33FB09DD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this</w:t>
      </w:r>
      <w:r w:rsidR="56A6EC45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3BE08709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="3BE08709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r. Polissar says that his team has not tallied that up.</w:t>
      </w:r>
    </w:p>
    <w:p w14:paraId="49E9C02F" w14:textId="1BA3CAAA" w:rsidR="2252EFD1" w:rsidRDefault="00D02EC7" w:rsidP="5E7F4DCE">
      <w:pPr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="2252EFD1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r. </w:t>
      </w:r>
      <w:r w:rsidR="0B73A6B1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McDevitt asks if there is a floor for how many cases</w:t>
      </w:r>
      <w:r w:rsidR="0A95ADF1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(when</w:t>
      </w:r>
      <w:r w:rsidR="4055D9A0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broken</w:t>
      </w:r>
      <w:r w:rsidR="0A95ADF1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down into individual jurisdictions) </w:t>
      </w:r>
      <w:r w:rsidR="7EEAA121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="0A95ADF1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you would calculate your ratio</w:t>
      </w:r>
      <w:r w:rsidR="51628DE6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based on</w:t>
      </w:r>
      <w:r w:rsidR="0E500D56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1FEA9EF5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="1FEA9EF5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r. Polissar says that all the information was taken and therefore this can be calculated.</w:t>
      </w:r>
    </w:p>
    <w:p w14:paraId="10FD29C2" w14:textId="3BEBCC92" w:rsidR="676F1198" w:rsidRDefault="00D02EC7" w:rsidP="5E7F4DCE">
      <w:pPr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="676F1198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r. McDevitt </w:t>
      </w:r>
      <w:r w:rsidR="7B65375B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adds that census data are all </w:t>
      </w:r>
      <w:r w:rsidR="32085D3F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inaccurate</w:t>
      </w:r>
      <w:r w:rsidR="7B65375B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probably the best measures are to look at multiple measures of disparity. </w:t>
      </w:r>
      <w:r w:rsidR="60E447F2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He finished by stating that these data</w:t>
      </w:r>
      <w:r w:rsidR="7B685AAB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on racial disparit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ies</w:t>
      </w:r>
      <w:r w:rsidR="60E447F2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will never fully tell what is in the mind of a </w:t>
      </w:r>
      <w:r w:rsidR="3F4EDE7C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given officer, but social sciences tell</w:t>
      </w:r>
      <w:r w:rsidR="71E9AF70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</w:t>
      </w:r>
      <w:r w:rsidR="3F4EDE7C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 that patterns do reflect behavior.</w:t>
      </w:r>
    </w:p>
    <w:p w14:paraId="76DD4B03" w14:textId="38E07F51" w:rsidR="54BBB772" w:rsidRDefault="00D02EC7" w:rsidP="5E7F4DCE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Ms.</w:t>
      </w:r>
      <w:r w:rsidR="54BBB772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Bennett thanks this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Task Force</w:t>
      </w:r>
      <w:r w:rsidR="54BBB772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coming togeth</w:t>
      </w:r>
      <w:r w:rsidR="15604CA4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 and</w:t>
      </w:r>
      <w:r w:rsidR="54BBB772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their contributing w</w:t>
      </w:r>
      <w:r w:rsidR="644B9427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</w:t>
      </w:r>
      <w:r w:rsidR="0CDEEB32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rk</w:t>
      </w:r>
      <w:r w:rsidR="0D8E5626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DF5C436" w14:textId="44FE1A6A" w:rsidR="5E7F4DCE" w:rsidRDefault="5E7F4DCE" w:rsidP="5E7F4DCE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3796D3B" w14:textId="57EB44CB" w:rsidR="0E8B538C" w:rsidRDefault="0E8B538C" w:rsidP="5E7F4DCE">
      <w:pPr>
        <w:spacing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5E7F4DC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lastRenderedPageBreak/>
        <w:t>N</w:t>
      </w:r>
      <w:r w:rsidR="54158A51" w:rsidRPr="5E7F4DC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e</w:t>
      </w:r>
      <w:r w:rsidRPr="5E7F4DC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xt Steps</w:t>
      </w:r>
    </w:p>
    <w:p w14:paraId="06040AF7" w14:textId="42BA606E" w:rsidR="3CEABDB7" w:rsidRDefault="00817A59" w:rsidP="3ACA2CA9">
      <w:pPr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Ms.</w:t>
      </w:r>
      <w:r w:rsidR="3CEABDB7" w:rsidRPr="3ACA2C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Reichert states the date of the next meeting which will be on December 16</w:t>
      </w:r>
      <w:r w:rsidR="3CEABDB7" w:rsidRPr="3ACA2CA9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perscript"/>
        </w:rPr>
        <w:t>th</w:t>
      </w:r>
      <w:r w:rsidR="3CEABDB7" w:rsidRPr="3ACA2C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She asks that everyone </w:t>
      </w:r>
      <w:r w:rsidR="495A5227" w:rsidRPr="3ACA2C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the </w:t>
      </w:r>
      <w:r w:rsidR="00D02EC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Task Force</w:t>
      </w:r>
      <w:r w:rsidR="495A5227" w:rsidRPr="3ACA2CA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send their bios to Ms. Green. </w:t>
      </w:r>
    </w:p>
    <w:p w14:paraId="5BEA3556" w14:textId="5EF8B37A" w:rsidR="3DAAEBDC" w:rsidRDefault="3DAAEBDC" w:rsidP="5E7F4DCE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the </w:t>
      </w:r>
      <w:r w:rsidR="00314B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next </w:t>
      </w:r>
      <w:r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meeting, </w:t>
      </w:r>
      <w:r w:rsidR="00817A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Ms.</w:t>
      </w:r>
      <w:r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Reichert suggests that everyone thinks about some questions that they would like future data to answer.</w:t>
      </w:r>
    </w:p>
    <w:p w14:paraId="77E915B5" w14:textId="04406326" w:rsidR="5E7F4DCE" w:rsidRDefault="5E7F4DCE" w:rsidP="5E7F4DCE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9F60A3" w14:textId="5757D3F2" w:rsidR="001CC3F4" w:rsidRDefault="001CC3F4" w:rsidP="5E7F4DCE">
      <w:pPr>
        <w:spacing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5E7F4DC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Public Comment</w:t>
      </w:r>
    </w:p>
    <w:p w14:paraId="74ABC861" w14:textId="665AFFCB" w:rsidR="001CC3F4" w:rsidRDefault="001CC3F4" w:rsidP="5E7F4DCE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None.</w:t>
      </w:r>
    </w:p>
    <w:p w14:paraId="0D6EE947" w14:textId="4AC57492" w:rsidR="5E7F4DCE" w:rsidRDefault="5E7F4DCE" w:rsidP="5E7F4DCE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2214C2B" w14:textId="3A36DE2C" w:rsidR="001CC3F4" w:rsidRDefault="001CC3F4" w:rsidP="5E7F4DCE">
      <w:pPr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7F4DC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Adjournment</w:t>
      </w:r>
    </w:p>
    <w:p w14:paraId="7E559F5A" w14:textId="5127210E" w:rsidR="180A3FE8" w:rsidRDefault="180A3FE8" w:rsidP="5E7F4DCE">
      <w:pPr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Ms. English called for a motion to adjourn the meeting.</w:t>
      </w:r>
      <w:r w:rsidR="6C14EBC0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810C2E7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Mr. </w:t>
      </w:r>
      <w:proofErr w:type="spellStart"/>
      <w:r w:rsidR="2810C2E7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Stelter</w:t>
      </w:r>
      <w:proofErr w:type="spellEnd"/>
      <w:r w:rsidR="2810C2E7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moved to adjourn the meeting.</w:t>
      </w:r>
      <w:r w:rsidR="52CA57DB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motion was seconded by </w:t>
      </w:r>
      <w:r w:rsidR="00314B0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="52CA57DB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r. McDevitt.</w:t>
      </w:r>
      <w:r w:rsidR="7F5B31AC" w:rsidRPr="5E7F4DC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 meeting was adjourned at 3:00 p.m.</w:t>
      </w:r>
    </w:p>
    <w:p w14:paraId="57F33466" w14:textId="1C9B1B06" w:rsidR="5E7F4DCE" w:rsidRDefault="5E7F4DCE" w:rsidP="5E7F4DCE">
      <w:pPr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80C555" w14:textId="51D5C622" w:rsidR="5E7F4DCE" w:rsidRDefault="5E7F4DCE" w:rsidP="5E7F4DCE">
      <w:pPr>
        <w:spacing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5C46AF67" w14:textId="7463D2D0" w:rsidR="5E7F4DCE" w:rsidRDefault="5E7F4DCE" w:rsidP="5E7F4DCE">
      <w:pPr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EEE042" w14:textId="2009D3A2" w:rsidR="5E7F4DCE" w:rsidRDefault="5E7F4DCE" w:rsidP="5E7F4DCE">
      <w:pPr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38CF76" w14:textId="452BB354" w:rsidR="756027F5" w:rsidRDefault="756027F5" w:rsidP="756027F5">
      <w:pPr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EC963A" w14:textId="58493504" w:rsidR="756027F5" w:rsidRDefault="756027F5" w:rsidP="756027F5">
      <w:pPr>
        <w:spacing w:after="24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44B1F7FC" w14:textId="606B043E" w:rsidR="756027F5" w:rsidRDefault="756027F5" w:rsidP="756027F5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5275EE" w14:textId="6548AAFA" w:rsidR="756027F5" w:rsidRDefault="756027F5" w:rsidP="756027F5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0FFCFE7" w14:textId="3A592AA1" w:rsidR="756027F5" w:rsidRDefault="756027F5" w:rsidP="756027F5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21FC3A9" w14:textId="1D7CC9C3" w:rsidR="756027F5" w:rsidRDefault="756027F5" w:rsidP="756027F5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7BD1C4" w14:textId="036E3529" w:rsidR="756027F5" w:rsidRDefault="756027F5" w:rsidP="756027F5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4A0D7B" w14:textId="289B4AE5" w:rsidR="756027F5" w:rsidRDefault="756027F5" w:rsidP="756027F5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68C860D" w14:textId="69CCA74B" w:rsidR="1729CBDB" w:rsidRDefault="1729CBDB" w:rsidP="756027F5">
      <w:pPr>
        <w:spacing w:after="24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56027F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021D3F9" w14:textId="0CF6302F" w:rsidR="756027F5" w:rsidRDefault="756027F5" w:rsidP="756027F5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326488D3" w14:textId="79873D3B" w:rsidR="756027F5" w:rsidRDefault="756027F5" w:rsidP="756027F5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</w:p>
    <w:p w14:paraId="7C84904F" w14:textId="6BFBA3DD" w:rsidR="756027F5" w:rsidRDefault="756027F5" w:rsidP="756027F5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6177A7" w14:textId="004B2273" w:rsidR="756027F5" w:rsidRDefault="756027F5" w:rsidP="756027F5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3FCAD0" w14:textId="792E6177" w:rsidR="756027F5" w:rsidRDefault="756027F5" w:rsidP="756027F5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96240E" w14:textId="730E750F" w:rsidR="49AF3919" w:rsidRDefault="49AF3919" w:rsidP="49AF3919">
      <w:pPr>
        <w:jc w:val="center"/>
      </w:pPr>
    </w:p>
    <w:p w14:paraId="77A71E9B" w14:textId="4A371941" w:rsidR="756027F5" w:rsidRDefault="756027F5" w:rsidP="756027F5">
      <w:pPr>
        <w:jc w:val="center"/>
      </w:pPr>
    </w:p>
    <w:sectPr w:rsidR="756027F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1DAD5D" w14:textId="77777777" w:rsidR="00D02EC7" w:rsidRDefault="00D02EC7" w:rsidP="00D02EC7">
      <w:pPr>
        <w:spacing w:after="0" w:line="240" w:lineRule="auto"/>
      </w:pPr>
      <w:r>
        <w:separator/>
      </w:r>
    </w:p>
  </w:endnote>
  <w:endnote w:type="continuationSeparator" w:id="0">
    <w:p w14:paraId="05FA734B" w14:textId="77777777" w:rsidR="00D02EC7" w:rsidRDefault="00D02EC7" w:rsidP="00D02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21100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7D50365" w14:textId="2637CB65" w:rsidR="00D02EC7" w:rsidRPr="00D02EC7" w:rsidRDefault="00D02EC7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02EC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02EC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02EC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02EC7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02EC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EC7C3C5" w14:textId="77777777" w:rsidR="00D02EC7" w:rsidRDefault="00D02E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DC7BA" w14:textId="77777777" w:rsidR="00D02EC7" w:rsidRDefault="00D02EC7" w:rsidP="00D02EC7">
      <w:pPr>
        <w:spacing w:after="0" w:line="240" w:lineRule="auto"/>
      </w:pPr>
      <w:r>
        <w:separator/>
      </w:r>
    </w:p>
  </w:footnote>
  <w:footnote w:type="continuationSeparator" w:id="0">
    <w:p w14:paraId="70F303B6" w14:textId="77777777" w:rsidR="00D02EC7" w:rsidRDefault="00D02EC7" w:rsidP="00D02E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01FDB2"/>
    <w:rsid w:val="00111C3E"/>
    <w:rsid w:val="001CC3F4"/>
    <w:rsid w:val="003035FC"/>
    <w:rsid w:val="00314B08"/>
    <w:rsid w:val="0061571E"/>
    <w:rsid w:val="006B68F8"/>
    <w:rsid w:val="00817A59"/>
    <w:rsid w:val="00827965"/>
    <w:rsid w:val="008FA8C1"/>
    <w:rsid w:val="00A950D9"/>
    <w:rsid w:val="00D02EC7"/>
    <w:rsid w:val="010EEE08"/>
    <w:rsid w:val="015113A7"/>
    <w:rsid w:val="016CB9C0"/>
    <w:rsid w:val="01BBE05D"/>
    <w:rsid w:val="01E780C9"/>
    <w:rsid w:val="025ADA0C"/>
    <w:rsid w:val="0263FFD9"/>
    <w:rsid w:val="0286D4E9"/>
    <w:rsid w:val="02972F6D"/>
    <w:rsid w:val="02EB9535"/>
    <w:rsid w:val="03045551"/>
    <w:rsid w:val="0314D66C"/>
    <w:rsid w:val="03267D74"/>
    <w:rsid w:val="03284DAE"/>
    <w:rsid w:val="03F2C807"/>
    <w:rsid w:val="043F2805"/>
    <w:rsid w:val="045706CE"/>
    <w:rsid w:val="0480D79C"/>
    <w:rsid w:val="04B19C42"/>
    <w:rsid w:val="04BC9BD7"/>
    <w:rsid w:val="056DF9C8"/>
    <w:rsid w:val="05A0F0EB"/>
    <w:rsid w:val="05DC3E7C"/>
    <w:rsid w:val="06083416"/>
    <w:rsid w:val="0665A225"/>
    <w:rsid w:val="0674B373"/>
    <w:rsid w:val="06753F36"/>
    <w:rsid w:val="06A8718D"/>
    <w:rsid w:val="06BE425D"/>
    <w:rsid w:val="06EEC65B"/>
    <w:rsid w:val="06FCDE53"/>
    <w:rsid w:val="072F6312"/>
    <w:rsid w:val="07885085"/>
    <w:rsid w:val="0792980C"/>
    <w:rsid w:val="07A5463D"/>
    <w:rsid w:val="08026117"/>
    <w:rsid w:val="08278195"/>
    <w:rsid w:val="09359926"/>
    <w:rsid w:val="09B48DD6"/>
    <w:rsid w:val="09C69D32"/>
    <w:rsid w:val="0A95ADF1"/>
    <w:rsid w:val="0AE1F316"/>
    <w:rsid w:val="0B236CCC"/>
    <w:rsid w:val="0B6C5033"/>
    <w:rsid w:val="0B73A6B1"/>
    <w:rsid w:val="0C1C570E"/>
    <w:rsid w:val="0C8DCEBE"/>
    <w:rsid w:val="0C98F38D"/>
    <w:rsid w:val="0CA4F632"/>
    <w:rsid w:val="0CC0BDD6"/>
    <w:rsid w:val="0CDEEB32"/>
    <w:rsid w:val="0D03C19A"/>
    <w:rsid w:val="0D22F4F8"/>
    <w:rsid w:val="0D3ED3C0"/>
    <w:rsid w:val="0D8BD075"/>
    <w:rsid w:val="0D8E5626"/>
    <w:rsid w:val="0DF5A680"/>
    <w:rsid w:val="0E003553"/>
    <w:rsid w:val="0E249973"/>
    <w:rsid w:val="0E500D56"/>
    <w:rsid w:val="0E8B538C"/>
    <w:rsid w:val="0FC6BEDA"/>
    <w:rsid w:val="0FDA55CD"/>
    <w:rsid w:val="0FE16B08"/>
    <w:rsid w:val="1080D7F7"/>
    <w:rsid w:val="10832114"/>
    <w:rsid w:val="109C34C0"/>
    <w:rsid w:val="10E7FD8A"/>
    <w:rsid w:val="111A270D"/>
    <w:rsid w:val="112DCBD1"/>
    <w:rsid w:val="1184AA7E"/>
    <w:rsid w:val="119A656B"/>
    <w:rsid w:val="11E09FFD"/>
    <w:rsid w:val="11E3EAFA"/>
    <w:rsid w:val="11EFBE33"/>
    <w:rsid w:val="12093096"/>
    <w:rsid w:val="12A0583D"/>
    <w:rsid w:val="1462F873"/>
    <w:rsid w:val="146CC15F"/>
    <w:rsid w:val="149E2FCD"/>
    <w:rsid w:val="14BD7BF2"/>
    <w:rsid w:val="1513C657"/>
    <w:rsid w:val="15604CA4"/>
    <w:rsid w:val="15963B4C"/>
    <w:rsid w:val="16426A45"/>
    <w:rsid w:val="164E6F57"/>
    <w:rsid w:val="166FE1E9"/>
    <w:rsid w:val="168544F2"/>
    <w:rsid w:val="16F24A52"/>
    <w:rsid w:val="1729CBDB"/>
    <w:rsid w:val="177D8925"/>
    <w:rsid w:val="17D819EC"/>
    <w:rsid w:val="17DB41BF"/>
    <w:rsid w:val="180A3FE8"/>
    <w:rsid w:val="181796F1"/>
    <w:rsid w:val="184AB883"/>
    <w:rsid w:val="18745F17"/>
    <w:rsid w:val="1A463C02"/>
    <w:rsid w:val="1A64E911"/>
    <w:rsid w:val="1AC7BCE8"/>
    <w:rsid w:val="1BC576F2"/>
    <w:rsid w:val="1C027A7F"/>
    <w:rsid w:val="1C2E0B97"/>
    <w:rsid w:val="1CA02693"/>
    <w:rsid w:val="1CC714E1"/>
    <w:rsid w:val="1CEC2661"/>
    <w:rsid w:val="1D0BF5A5"/>
    <w:rsid w:val="1DB785BB"/>
    <w:rsid w:val="1DE753AD"/>
    <w:rsid w:val="1E623BEE"/>
    <w:rsid w:val="1EC1C55F"/>
    <w:rsid w:val="1EF265FD"/>
    <w:rsid w:val="1F09B414"/>
    <w:rsid w:val="1F607110"/>
    <w:rsid w:val="1F6DE5FC"/>
    <w:rsid w:val="1F836050"/>
    <w:rsid w:val="1F9B88B6"/>
    <w:rsid w:val="1FA31B91"/>
    <w:rsid w:val="1FEA9EF5"/>
    <w:rsid w:val="201CF94F"/>
    <w:rsid w:val="201DEBCC"/>
    <w:rsid w:val="20D55319"/>
    <w:rsid w:val="20FBC487"/>
    <w:rsid w:val="21082595"/>
    <w:rsid w:val="215F24B2"/>
    <w:rsid w:val="2166F1E2"/>
    <w:rsid w:val="217A7670"/>
    <w:rsid w:val="217AC763"/>
    <w:rsid w:val="2194C94B"/>
    <w:rsid w:val="21D9E891"/>
    <w:rsid w:val="21E8310D"/>
    <w:rsid w:val="223EA475"/>
    <w:rsid w:val="2252EFD1"/>
    <w:rsid w:val="2310E59F"/>
    <w:rsid w:val="231BD892"/>
    <w:rsid w:val="23AB55FD"/>
    <w:rsid w:val="2415E11C"/>
    <w:rsid w:val="25201546"/>
    <w:rsid w:val="260DE3EC"/>
    <w:rsid w:val="276BE876"/>
    <w:rsid w:val="277970DA"/>
    <w:rsid w:val="279328D8"/>
    <w:rsid w:val="27E08B93"/>
    <w:rsid w:val="2810C2E7"/>
    <w:rsid w:val="281FC792"/>
    <w:rsid w:val="2895FFD3"/>
    <w:rsid w:val="28E98179"/>
    <w:rsid w:val="2901FDB2"/>
    <w:rsid w:val="29A09DE9"/>
    <w:rsid w:val="2BDD6756"/>
    <w:rsid w:val="2C3872D2"/>
    <w:rsid w:val="2CF4FD88"/>
    <w:rsid w:val="2D13A79A"/>
    <w:rsid w:val="2D22369E"/>
    <w:rsid w:val="2D3653C0"/>
    <w:rsid w:val="2D47A97D"/>
    <w:rsid w:val="2D63BDD5"/>
    <w:rsid w:val="2D8B405E"/>
    <w:rsid w:val="2DB2BCC7"/>
    <w:rsid w:val="2E52402F"/>
    <w:rsid w:val="2F0661B9"/>
    <w:rsid w:val="2F3F8C5D"/>
    <w:rsid w:val="2F56641B"/>
    <w:rsid w:val="2F6AF104"/>
    <w:rsid w:val="2F88C1D5"/>
    <w:rsid w:val="30066998"/>
    <w:rsid w:val="3015E0AD"/>
    <w:rsid w:val="3066F8ED"/>
    <w:rsid w:val="306DC967"/>
    <w:rsid w:val="3091D663"/>
    <w:rsid w:val="30D7BA79"/>
    <w:rsid w:val="31038290"/>
    <w:rsid w:val="31232786"/>
    <w:rsid w:val="3147ED97"/>
    <w:rsid w:val="316A86EC"/>
    <w:rsid w:val="317B9E62"/>
    <w:rsid w:val="3193E367"/>
    <w:rsid w:val="31BF6013"/>
    <w:rsid w:val="31E575BF"/>
    <w:rsid w:val="32085D3F"/>
    <w:rsid w:val="3231B0AE"/>
    <w:rsid w:val="32611D2F"/>
    <w:rsid w:val="326FA908"/>
    <w:rsid w:val="329ACE66"/>
    <w:rsid w:val="32A0F13D"/>
    <w:rsid w:val="32AF0105"/>
    <w:rsid w:val="33FB09DD"/>
    <w:rsid w:val="3416ED8D"/>
    <w:rsid w:val="342BF43B"/>
    <w:rsid w:val="347875B4"/>
    <w:rsid w:val="34DBF4B4"/>
    <w:rsid w:val="351B805F"/>
    <w:rsid w:val="35883B49"/>
    <w:rsid w:val="35C931C3"/>
    <w:rsid w:val="35D0B111"/>
    <w:rsid w:val="3627AF34"/>
    <w:rsid w:val="36533E79"/>
    <w:rsid w:val="36BB3026"/>
    <w:rsid w:val="3709B839"/>
    <w:rsid w:val="375D2BD8"/>
    <w:rsid w:val="3766B030"/>
    <w:rsid w:val="37D46D1A"/>
    <w:rsid w:val="3885C578"/>
    <w:rsid w:val="38C1AD64"/>
    <w:rsid w:val="38E89888"/>
    <w:rsid w:val="398A80DF"/>
    <w:rsid w:val="39E51BF1"/>
    <w:rsid w:val="39FF0CF8"/>
    <w:rsid w:val="3A95C1D1"/>
    <w:rsid w:val="3A978C92"/>
    <w:rsid w:val="3ABAB3C1"/>
    <w:rsid w:val="3AC5D1B2"/>
    <w:rsid w:val="3ACA2CA9"/>
    <w:rsid w:val="3B048E5C"/>
    <w:rsid w:val="3B0EAA6A"/>
    <w:rsid w:val="3B2FC710"/>
    <w:rsid w:val="3BD6AA1D"/>
    <w:rsid w:val="3BE08709"/>
    <w:rsid w:val="3C403CB4"/>
    <w:rsid w:val="3C65F9FC"/>
    <w:rsid w:val="3CA269F7"/>
    <w:rsid w:val="3CB53FE0"/>
    <w:rsid w:val="3CEABDB7"/>
    <w:rsid w:val="3CF4111D"/>
    <w:rsid w:val="3D341348"/>
    <w:rsid w:val="3D3B41E5"/>
    <w:rsid w:val="3D7958FC"/>
    <w:rsid w:val="3D7E6A89"/>
    <w:rsid w:val="3DAAEBDC"/>
    <w:rsid w:val="3DABB6A2"/>
    <w:rsid w:val="3E0A5E47"/>
    <w:rsid w:val="3E9340FC"/>
    <w:rsid w:val="3EA08410"/>
    <w:rsid w:val="3F4E2EFF"/>
    <w:rsid w:val="3F4EDE7C"/>
    <w:rsid w:val="3F55824A"/>
    <w:rsid w:val="3F838741"/>
    <w:rsid w:val="3FE059D5"/>
    <w:rsid w:val="400A6E73"/>
    <w:rsid w:val="4055D9A0"/>
    <w:rsid w:val="408FB1FE"/>
    <w:rsid w:val="40D5824A"/>
    <w:rsid w:val="40E33F35"/>
    <w:rsid w:val="40F88492"/>
    <w:rsid w:val="4108938A"/>
    <w:rsid w:val="411C68C8"/>
    <w:rsid w:val="41E1A8EA"/>
    <w:rsid w:val="424AD8EA"/>
    <w:rsid w:val="424AF1BB"/>
    <w:rsid w:val="42D20CC8"/>
    <w:rsid w:val="4350AFA3"/>
    <w:rsid w:val="43A5B4D7"/>
    <w:rsid w:val="4406B3D4"/>
    <w:rsid w:val="447285B6"/>
    <w:rsid w:val="44879A01"/>
    <w:rsid w:val="45B15FB0"/>
    <w:rsid w:val="4704844D"/>
    <w:rsid w:val="47C1D560"/>
    <w:rsid w:val="4941F8F2"/>
    <w:rsid w:val="495A5227"/>
    <w:rsid w:val="49910BDE"/>
    <w:rsid w:val="499E0ACA"/>
    <w:rsid w:val="49AF3919"/>
    <w:rsid w:val="4A034FC6"/>
    <w:rsid w:val="4A958BAC"/>
    <w:rsid w:val="4AB2C89C"/>
    <w:rsid w:val="4B236751"/>
    <w:rsid w:val="4B66F3C9"/>
    <w:rsid w:val="4B993257"/>
    <w:rsid w:val="4C869062"/>
    <w:rsid w:val="4C9C0D57"/>
    <w:rsid w:val="4CCF1478"/>
    <w:rsid w:val="4CDE7FED"/>
    <w:rsid w:val="4DABDDA3"/>
    <w:rsid w:val="4EBB436F"/>
    <w:rsid w:val="4EC0406F"/>
    <w:rsid w:val="4EEEC005"/>
    <w:rsid w:val="4EFAA8FB"/>
    <w:rsid w:val="4F26881A"/>
    <w:rsid w:val="4F374B62"/>
    <w:rsid w:val="4F4990F0"/>
    <w:rsid w:val="4F8AF729"/>
    <w:rsid w:val="4F9A9BDA"/>
    <w:rsid w:val="4FB50969"/>
    <w:rsid w:val="4FBE3124"/>
    <w:rsid w:val="4FF7EC01"/>
    <w:rsid w:val="500923C3"/>
    <w:rsid w:val="50456461"/>
    <w:rsid w:val="51088163"/>
    <w:rsid w:val="5137AF78"/>
    <w:rsid w:val="514BE77A"/>
    <w:rsid w:val="51628DE6"/>
    <w:rsid w:val="520B6C0D"/>
    <w:rsid w:val="52515398"/>
    <w:rsid w:val="528044AA"/>
    <w:rsid w:val="52815C8D"/>
    <w:rsid w:val="52AF1E23"/>
    <w:rsid w:val="52BC83F4"/>
    <w:rsid w:val="52CA57DB"/>
    <w:rsid w:val="52DCEA4B"/>
    <w:rsid w:val="52EB60C6"/>
    <w:rsid w:val="531793A5"/>
    <w:rsid w:val="53D23B53"/>
    <w:rsid w:val="54158A51"/>
    <w:rsid w:val="54BBB772"/>
    <w:rsid w:val="54CC9C26"/>
    <w:rsid w:val="553597B8"/>
    <w:rsid w:val="559CE290"/>
    <w:rsid w:val="55D7B8E4"/>
    <w:rsid w:val="55FBD0FB"/>
    <w:rsid w:val="5633811C"/>
    <w:rsid w:val="56776F8C"/>
    <w:rsid w:val="56A6EC45"/>
    <w:rsid w:val="56F8D622"/>
    <w:rsid w:val="571D04D2"/>
    <w:rsid w:val="572D8D61"/>
    <w:rsid w:val="573A1FF3"/>
    <w:rsid w:val="57632CF6"/>
    <w:rsid w:val="5800351D"/>
    <w:rsid w:val="583342E5"/>
    <w:rsid w:val="585051FE"/>
    <w:rsid w:val="58568428"/>
    <w:rsid w:val="586F1D47"/>
    <w:rsid w:val="59380B53"/>
    <w:rsid w:val="59F9792C"/>
    <w:rsid w:val="5AB52500"/>
    <w:rsid w:val="5B1FD226"/>
    <w:rsid w:val="5B43BABB"/>
    <w:rsid w:val="5B5D2336"/>
    <w:rsid w:val="5B60360E"/>
    <w:rsid w:val="5B9B9A83"/>
    <w:rsid w:val="5BB8475C"/>
    <w:rsid w:val="5C0167BD"/>
    <w:rsid w:val="5C2E9B0A"/>
    <w:rsid w:val="5C3984D4"/>
    <w:rsid w:val="5C5905F2"/>
    <w:rsid w:val="5CA29DE1"/>
    <w:rsid w:val="5CB14902"/>
    <w:rsid w:val="5D22A2ED"/>
    <w:rsid w:val="5DD7D251"/>
    <w:rsid w:val="5E0EE6E6"/>
    <w:rsid w:val="5E7F4DCE"/>
    <w:rsid w:val="5EA2445C"/>
    <w:rsid w:val="5EAA1A06"/>
    <w:rsid w:val="5EE98A2B"/>
    <w:rsid w:val="5EF4874C"/>
    <w:rsid w:val="5F15B854"/>
    <w:rsid w:val="5F5E87B3"/>
    <w:rsid w:val="6053217E"/>
    <w:rsid w:val="60E447F2"/>
    <w:rsid w:val="611403E5"/>
    <w:rsid w:val="6140BDDC"/>
    <w:rsid w:val="6142653C"/>
    <w:rsid w:val="628E414E"/>
    <w:rsid w:val="62D6C5F8"/>
    <w:rsid w:val="63251951"/>
    <w:rsid w:val="6325F20C"/>
    <w:rsid w:val="63382746"/>
    <w:rsid w:val="63FCCCC8"/>
    <w:rsid w:val="64334A16"/>
    <w:rsid w:val="644B9427"/>
    <w:rsid w:val="64C5B5E9"/>
    <w:rsid w:val="655254DC"/>
    <w:rsid w:val="655D9CE2"/>
    <w:rsid w:val="65785DB3"/>
    <w:rsid w:val="65CF642B"/>
    <w:rsid w:val="66077B38"/>
    <w:rsid w:val="66278766"/>
    <w:rsid w:val="66A40344"/>
    <w:rsid w:val="66AF0B2F"/>
    <w:rsid w:val="66B5EB46"/>
    <w:rsid w:val="66E02AFD"/>
    <w:rsid w:val="66EFF86C"/>
    <w:rsid w:val="676F1198"/>
    <w:rsid w:val="676F26BC"/>
    <w:rsid w:val="67D45B9A"/>
    <w:rsid w:val="681CCB39"/>
    <w:rsid w:val="6857DC5B"/>
    <w:rsid w:val="687A3094"/>
    <w:rsid w:val="68CE15D7"/>
    <w:rsid w:val="6936BBB6"/>
    <w:rsid w:val="696C9B71"/>
    <w:rsid w:val="6975003C"/>
    <w:rsid w:val="6A63B992"/>
    <w:rsid w:val="6BD7376C"/>
    <w:rsid w:val="6C14EBC0"/>
    <w:rsid w:val="6C40FB2F"/>
    <w:rsid w:val="6C928005"/>
    <w:rsid w:val="6CA7E5F6"/>
    <w:rsid w:val="6CB06F7E"/>
    <w:rsid w:val="6D5130B5"/>
    <w:rsid w:val="6D8CE879"/>
    <w:rsid w:val="6E28FFD7"/>
    <w:rsid w:val="6E362520"/>
    <w:rsid w:val="6E52C2FF"/>
    <w:rsid w:val="6E62175C"/>
    <w:rsid w:val="6EA641E0"/>
    <w:rsid w:val="6ED856CD"/>
    <w:rsid w:val="6F02C371"/>
    <w:rsid w:val="6F30AF26"/>
    <w:rsid w:val="6F41B78D"/>
    <w:rsid w:val="70B08390"/>
    <w:rsid w:val="71350FBD"/>
    <w:rsid w:val="7166EA99"/>
    <w:rsid w:val="71978234"/>
    <w:rsid w:val="71E9AF70"/>
    <w:rsid w:val="72BE858A"/>
    <w:rsid w:val="72EAA6A2"/>
    <w:rsid w:val="735104EF"/>
    <w:rsid w:val="73D8A185"/>
    <w:rsid w:val="742F95B1"/>
    <w:rsid w:val="743D3D6C"/>
    <w:rsid w:val="74585192"/>
    <w:rsid w:val="745AA504"/>
    <w:rsid w:val="75312DD6"/>
    <w:rsid w:val="756027F5"/>
    <w:rsid w:val="756EA3D6"/>
    <w:rsid w:val="75773F8E"/>
    <w:rsid w:val="761E54C5"/>
    <w:rsid w:val="762AC0D2"/>
    <w:rsid w:val="765CBBEB"/>
    <w:rsid w:val="7683D949"/>
    <w:rsid w:val="76A22E48"/>
    <w:rsid w:val="7718448F"/>
    <w:rsid w:val="7739465E"/>
    <w:rsid w:val="773CBE09"/>
    <w:rsid w:val="774A21CD"/>
    <w:rsid w:val="775E4587"/>
    <w:rsid w:val="77FB1821"/>
    <w:rsid w:val="78229733"/>
    <w:rsid w:val="782A3618"/>
    <w:rsid w:val="78DAF480"/>
    <w:rsid w:val="78E58290"/>
    <w:rsid w:val="79085A8D"/>
    <w:rsid w:val="797360E6"/>
    <w:rsid w:val="7A04D38B"/>
    <w:rsid w:val="7A43D813"/>
    <w:rsid w:val="7B40ECED"/>
    <w:rsid w:val="7B46965A"/>
    <w:rsid w:val="7B573226"/>
    <w:rsid w:val="7B598797"/>
    <w:rsid w:val="7B65375B"/>
    <w:rsid w:val="7B685AAB"/>
    <w:rsid w:val="7BA0731D"/>
    <w:rsid w:val="7BD9A2B8"/>
    <w:rsid w:val="7C4A9409"/>
    <w:rsid w:val="7CCD16BB"/>
    <w:rsid w:val="7D2DB169"/>
    <w:rsid w:val="7D825173"/>
    <w:rsid w:val="7DC66DDA"/>
    <w:rsid w:val="7DC77F6C"/>
    <w:rsid w:val="7DFCC1AA"/>
    <w:rsid w:val="7E32194D"/>
    <w:rsid w:val="7E97EF34"/>
    <w:rsid w:val="7EEAA121"/>
    <w:rsid w:val="7EEB7E13"/>
    <w:rsid w:val="7F1F91E6"/>
    <w:rsid w:val="7F5B31AC"/>
    <w:rsid w:val="7FE6D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FDB2"/>
  <w15:chartTrackingRefBased/>
  <w15:docId w15:val="{C8C6EC24-63F8-407C-8D32-47D24EA3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02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EC7"/>
  </w:style>
  <w:style w:type="paragraph" w:styleId="Footer">
    <w:name w:val="footer"/>
    <w:basedOn w:val="Normal"/>
    <w:link w:val="FooterChar"/>
    <w:uiPriority w:val="99"/>
    <w:unhideWhenUsed/>
    <w:rsid w:val="00D02E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Kuczynski, Brian</dc:creator>
  <cp:keywords/>
  <dc:description/>
  <cp:lastModifiedBy>Emilee Green</cp:lastModifiedBy>
  <cp:revision>3</cp:revision>
  <dcterms:created xsi:type="dcterms:W3CDTF">2020-10-21T15:42:00Z</dcterms:created>
  <dcterms:modified xsi:type="dcterms:W3CDTF">2020-10-21T15:43:00Z</dcterms:modified>
</cp:coreProperties>
</file>