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0EE385C" w14:textId="77777777" w:rsidR="00F808E9" w:rsidRPr="00017495" w:rsidRDefault="006D2857">
      <w:pPr>
        <w:jc w:val="center"/>
      </w:pPr>
      <w:bookmarkStart w:id="0" w:name="_GoBack"/>
      <w:bookmarkEnd w:id="0"/>
      <w:r w:rsidRPr="00017495">
        <w:rPr>
          <w:b/>
        </w:rPr>
        <w:t>Uniform Notice for Funding Opportunity (NOFO)</w:t>
      </w:r>
    </w:p>
    <w:p w14:paraId="199CC064" w14:textId="4D768FC9" w:rsidR="005B23EF" w:rsidRPr="00017495" w:rsidRDefault="00DB204B" w:rsidP="00DB204B">
      <w:pPr>
        <w:jc w:val="center"/>
      </w:pPr>
      <w:r w:rsidRPr="00017495">
        <w:t>Adult Redeploy Illinois –</w:t>
      </w:r>
      <w:r w:rsidR="007341F4">
        <w:t xml:space="preserve"> </w:t>
      </w:r>
      <w:r w:rsidR="0052682A">
        <w:t xml:space="preserve">Planning </w:t>
      </w:r>
      <w:r w:rsidRPr="00017495">
        <w:t xml:space="preserve">Grants </w:t>
      </w:r>
    </w:p>
    <w:p w14:paraId="2C7E1D46" w14:textId="2DBE011F" w:rsidR="00DB204B" w:rsidRPr="00017495" w:rsidRDefault="0052682A" w:rsidP="00F2334A">
      <w:pPr>
        <w:jc w:val="center"/>
      </w:pPr>
      <w:r w:rsidRPr="00AD2676">
        <w:rPr>
          <w:i/>
        </w:rPr>
        <w:t>September 2018</w:t>
      </w:r>
    </w:p>
    <w:p w14:paraId="6B381F42" w14:textId="73976DCF" w:rsidR="00F808E9" w:rsidRDefault="00F808E9">
      <w:pPr>
        <w:jc w:val="center"/>
      </w:pPr>
    </w:p>
    <w:tbl>
      <w:tblPr>
        <w:tblStyle w:val="4"/>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3600"/>
        <w:gridCol w:w="5850"/>
      </w:tblGrid>
      <w:tr w:rsidR="00DD7A31" w:rsidRPr="00017495" w14:paraId="05C47866" w14:textId="77777777" w:rsidTr="0071470B">
        <w:trPr>
          <w:jc w:val="center"/>
        </w:trPr>
        <w:tc>
          <w:tcPr>
            <w:tcW w:w="450" w:type="dxa"/>
            <w:shd w:val="clear" w:color="auto" w:fill="D9D9D9"/>
          </w:tcPr>
          <w:p w14:paraId="14CF22D4" w14:textId="77777777" w:rsidR="00DD7A31" w:rsidRPr="00017495" w:rsidRDefault="00DD7A31" w:rsidP="00255356">
            <w:pPr>
              <w:jc w:val="center"/>
            </w:pPr>
          </w:p>
        </w:tc>
        <w:tc>
          <w:tcPr>
            <w:tcW w:w="3600" w:type="dxa"/>
            <w:shd w:val="clear" w:color="auto" w:fill="D9D9D9"/>
          </w:tcPr>
          <w:p w14:paraId="6977CF58" w14:textId="77777777" w:rsidR="00DD7A31" w:rsidRPr="00017495" w:rsidRDefault="00DD7A31" w:rsidP="00255356">
            <w:pPr>
              <w:jc w:val="center"/>
            </w:pPr>
            <w:r w:rsidRPr="00017495">
              <w:rPr>
                <w:b/>
              </w:rPr>
              <w:t>Data Field</w:t>
            </w:r>
          </w:p>
        </w:tc>
        <w:tc>
          <w:tcPr>
            <w:tcW w:w="5850" w:type="dxa"/>
            <w:shd w:val="clear" w:color="auto" w:fill="D9D9D9"/>
          </w:tcPr>
          <w:p w14:paraId="345A42E1" w14:textId="77777777" w:rsidR="00DD7A31" w:rsidRPr="00017495" w:rsidRDefault="00DD7A31" w:rsidP="00255356">
            <w:pPr>
              <w:jc w:val="center"/>
            </w:pPr>
          </w:p>
        </w:tc>
      </w:tr>
      <w:tr w:rsidR="00DD7A31" w:rsidRPr="00017495" w14:paraId="659B7010" w14:textId="77777777" w:rsidTr="0071470B">
        <w:trPr>
          <w:jc w:val="center"/>
        </w:trPr>
        <w:tc>
          <w:tcPr>
            <w:tcW w:w="450" w:type="dxa"/>
          </w:tcPr>
          <w:p w14:paraId="5D4B9F8B" w14:textId="77777777" w:rsidR="00DD7A31" w:rsidRPr="00017495" w:rsidRDefault="00DD7A31" w:rsidP="00255356">
            <w:pPr>
              <w:numPr>
                <w:ilvl w:val="0"/>
                <w:numId w:val="1"/>
              </w:numPr>
              <w:spacing w:after="200" w:line="276" w:lineRule="auto"/>
              <w:ind w:hanging="360"/>
              <w:contextualSpacing/>
              <w:rPr>
                <w:color w:val="333333"/>
              </w:rPr>
            </w:pPr>
          </w:p>
        </w:tc>
        <w:tc>
          <w:tcPr>
            <w:tcW w:w="3600" w:type="dxa"/>
          </w:tcPr>
          <w:p w14:paraId="39348411" w14:textId="77777777" w:rsidR="00DD7A31" w:rsidRPr="00017495" w:rsidRDefault="00DD7A31" w:rsidP="00255356">
            <w:pPr>
              <w:ind w:left="0"/>
              <w:rPr>
                <w:color w:val="auto"/>
              </w:rPr>
            </w:pPr>
            <w:r w:rsidRPr="00017495">
              <w:rPr>
                <w:color w:val="auto"/>
              </w:rPr>
              <w:t>Awarding Agency Name:</w:t>
            </w:r>
            <w:r w:rsidRPr="00017495">
              <w:rPr>
                <w:color w:val="auto"/>
              </w:rPr>
              <w:tab/>
            </w:r>
          </w:p>
        </w:tc>
        <w:tc>
          <w:tcPr>
            <w:tcW w:w="5850" w:type="dxa"/>
          </w:tcPr>
          <w:p w14:paraId="2EBB6195" w14:textId="77777777" w:rsidR="00DD7A31" w:rsidRPr="00017495" w:rsidRDefault="00DD7A31" w:rsidP="00255356">
            <w:pPr>
              <w:ind w:left="0"/>
            </w:pPr>
            <w:r w:rsidRPr="00017495">
              <w:t>Illinois Criminal Justice Information Authority</w:t>
            </w:r>
          </w:p>
        </w:tc>
      </w:tr>
      <w:tr w:rsidR="00DD7A31" w:rsidRPr="00017495" w14:paraId="555D35EA" w14:textId="77777777" w:rsidTr="0071470B">
        <w:trPr>
          <w:jc w:val="center"/>
        </w:trPr>
        <w:tc>
          <w:tcPr>
            <w:tcW w:w="450" w:type="dxa"/>
          </w:tcPr>
          <w:p w14:paraId="1726F4F9" w14:textId="77777777" w:rsidR="00DD7A31" w:rsidRPr="00017495" w:rsidRDefault="00DD7A31" w:rsidP="00255356">
            <w:pPr>
              <w:numPr>
                <w:ilvl w:val="0"/>
                <w:numId w:val="1"/>
              </w:numPr>
              <w:spacing w:after="200" w:line="276" w:lineRule="auto"/>
              <w:ind w:hanging="360"/>
              <w:contextualSpacing/>
              <w:rPr>
                <w:color w:val="333333"/>
              </w:rPr>
            </w:pPr>
          </w:p>
        </w:tc>
        <w:tc>
          <w:tcPr>
            <w:tcW w:w="3600" w:type="dxa"/>
          </w:tcPr>
          <w:p w14:paraId="4C90C228" w14:textId="77777777" w:rsidR="00DD7A31" w:rsidRPr="00017495" w:rsidRDefault="00DD7A31" w:rsidP="00255356">
            <w:pPr>
              <w:ind w:left="0"/>
              <w:rPr>
                <w:color w:val="auto"/>
              </w:rPr>
            </w:pPr>
            <w:r w:rsidRPr="00017495">
              <w:rPr>
                <w:color w:val="auto"/>
              </w:rPr>
              <w:t>Agency Contact:</w:t>
            </w:r>
          </w:p>
        </w:tc>
        <w:tc>
          <w:tcPr>
            <w:tcW w:w="5850" w:type="dxa"/>
          </w:tcPr>
          <w:p w14:paraId="6875603B" w14:textId="5A8F1EA2" w:rsidR="00DD7A31" w:rsidRPr="00017495" w:rsidRDefault="00DD7A31" w:rsidP="00255356">
            <w:pPr>
              <w:ind w:left="0"/>
            </w:pPr>
            <w:r w:rsidRPr="00017495">
              <w:t>Adriana P</w:t>
            </w:r>
            <w:r w:rsidR="00AC2A95">
              <w:t>é</w:t>
            </w:r>
            <w:r w:rsidRPr="00017495">
              <w:t>rez, Program Manager</w:t>
            </w:r>
          </w:p>
          <w:p w14:paraId="79F9A041" w14:textId="77777777" w:rsidR="00DD7A31" w:rsidRPr="00017495" w:rsidRDefault="00DD7A31" w:rsidP="00255356">
            <w:pPr>
              <w:ind w:left="0"/>
            </w:pPr>
            <w:r w:rsidRPr="00017495">
              <w:t xml:space="preserve">Adult Redeploy Illinois </w:t>
            </w:r>
          </w:p>
          <w:p w14:paraId="7885E23C" w14:textId="77777777" w:rsidR="00DD7A31" w:rsidRPr="00017495" w:rsidRDefault="00DD7A31" w:rsidP="00255356">
            <w:pPr>
              <w:ind w:left="0"/>
            </w:pPr>
            <w:r w:rsidRPr="00017495">
              <w:t>Illinois Criminal Justice Information Authority</w:t>
            </w:r>
          </w:p>
          <w:p w14:paraId="4345051E" w14:textId="77777777" w:rsidR="00DD7A31" w:rsidRPr="00017495" w:rsidRDefault="00DD7A31" w:rsidP="00255356">
            <w:pPr>
              <w:ind w:left="0"/>
            </w:pPr>
            <w:r w:rsidRPr="00017495">
              <w:t>300 West Adams, Suite 200</w:t>
            </w:r>
          </w:p>
          <w:p w14:paraId="49E22A56" w14:textId="77777777" w:rsidR="00DD7A31" w:rsidRPr="00017495" w:rsidRDefault="00DD7A31" w:rsidP="00255356">
            <w:pPr>
              <w:ind w:left="0"/>
            </w:pPr>
            <w:r w:rsidRPr="00017495">
              <w:t>Chicago, IL 60606</w:t>
            </w:r>
          </w:p>
          <w:p w14:paraId="047F084D" w14:textId="6AB23150" w:rsidR="00DD7A31" w:rsidRPr="00017495" w:rsidRDefault="00903F62" w:rsidP="00255356">
            <w:pPr>
              <w:ind w:left="0"/>
            </w:pPr>
            <w:hyperlink r:id="rId8" w:history="1">
              <w:r w:rsidR="00AC2A95" w:rsidRPr="00810093">
                <w:rPr>
                  <w:rStyle w:val="Hyperlink"/>
                </w:rPr>
                <w:t>Adriana.Perez@Illinois.gov</w:t>
              </w:r>
            </w:hyperlink>
            <w:r w:rsidR="00AC2A95">
              <w:t xml:space="preserve"> </w:t>
            </w:r>
          </w:p>
          <w:p w14:paraId="186E2A65" w14:textId="77777777" w:rsidR="00DD7A31" w:rsidRPr="00017495" w:rsidRDefault="00DD7A31" w:rsidP="00255356">
            <w:pPr>
              <w:ind w:left="0"/>
            </w:pPr>
            <w:r w:rsidRPr="00017495">
              <w:t>312-793-8406</w:t>
            </w:r>
          </w:p>
        </w:tc>
      </w:tr>
      <w:tr w:rsidR="00DD7A31" w:rsidRPr="00017495" w14:paraId="3DAA5E53" w14:textId="77777777" w:rsidTr="0071470B">
        <w:trPr>
          <w:jc w:val="center"/>
        </w:trPr>
        <w:tc>
          <w:tcPr>
            <w:tcW w:w="450" w:type="dxa"/>
          </w:tcPr>
          <w:p w14:paraId="73EA27F3" w14:textId="77777777" w:rsidR="00DD7A31" w:rsidRPr="00017495" w:rsidRDefault="00DD7A31" w:rsidP="00255356">
            <w:pPr>
              <w:numPr>
                <w:ilvl w:val="0"/>
                <w:numId w:val="1"/>
              </w:numPr>
              <w:spacing w:after="200" w:line="276" w:lineRule="auto"/>
              <w:ind w:hanging="360"/>
              <w:contextualSpacing/>
              <w:rPr>
                <w:color w:val="333333"/>
              </w:rPr>
            </w:pPr>
          </w:p>
        </w:tc>
        <w:tc>
          <w:tcPr>
            <w:tcW w:w="3600" w:type="dxa"/>
          </w:tcPr>
          <w:p w14:paraId="790B7C3A" w14:textId="77777777" w:rsidR="00DD7A31" w:rsidRPr="00017495" w:rsidRDefault="00DD7A31" w:rsidP="00255356">
            <w:pPr>
              <w:ind w:left="0"/>
              <w:rPr>
                <w:color w:val="auto"/>
              </w:rPr>
            </w:pPr>
            <w:r w:rsidRPr="00017495">
              <w:rPr>
                <w:color w:val="auto"/>
              </w:rPr>
              <w:t>Announcement Type:</w:t>
            </w:r>
          </w:p>
        </w:tc>
        <w:tc>
          <w:tcPr>
            <w:tcW w:w="5850" w:type="dxa"/>
          </w:tcPr>
          <w:p w14:paraId="48A9AD17" w14:textId="77777777" w:rsidR="00DD7A31" w:rsidRPr="00017495" w:rsidRDefault="00DD7A31" w:rsidP="00255356">
            <w:pPr>
              <w:ind w:left="0"/>
            </w:pPr>
            <w:r w:rsidRPr="00017495">
              <w:t xml:space="preserve">X Initial announcement   </w:t>
            </w:r>
          </w:p>
          <w:p w14:paraId="3062141D" w14:textId="77777777" w:rsidR="00DD7A31" w:rsidRPr="00017495" w:rsidRDefault="00DD7A31" w:rsidP="00255356">
            <w:pPr>
              <w:ind w:left="0"/>
            </w:pPr>
            <w:r w:rsidRPr="00017495">
              <w:t>□ Modification of a previous announcement</w:t>
            </w:r>
          </w:p>
        </w:tc>
      </w:tr>
      <w:tr w:rsidR="00DD7A31" w:rsidRPr="00017495" w14:paraId="3A7185A0" w14:textId="77777777" w:rsidTr="0071470B">
        <w:trPr>
          <w:jc w:val="center"/>
        </w:trPr>
        <w:tc>
          <w:tcPr>
            <w:tcW w:w="450" w:type="dxa"/>
          </w:tcPr>
          <w:p w14:paraId="4BF15C0F" w14:textId="77777777" w:rsidR="00DD7A31" w:rsidRPr="00017495" w:rsidRDefault="00DD7A31" w:rsidP="00255356">
            <w:pPr>
              <w:numPr>
                <w:ilvl w:val="0"/>
                <w:numId w:val="1"/>
              </w:numPr>
              <w:spacing w:after="200" w:line="276" w:lineRule="auto"/>
              <w:ind w:hanging="360"/>
              <w:contextualSpacing/>
              <w:rPr>
                <w:color w:val="333333"/>
              </w:rPr>
            </w:pPr>
          </w:p>
        </w:tc>
        <w:tc>
          <w:tcPr>
            <w:tcW w:w="3600" w:type="dxa"/>
          </w:tcPr>
          <w:p w14:paraId="0565975A" w14:textId="77777777" w:rsidR="00DD7A31" w:rsidRPr="00017495" w:rsidRDefault="00DD7A31" w:rsidP="00255356">
            <w:pPr>
              <w:ind w:left="0"/>
              <w:rPr>
                <w:color w:val="auto"/>
              </w:rPr>
            </w:pPr>
            <w:r w:rsidRPr="00017495">
              <w:rPr>
                <w:color w:val="auto"/>
              </w:rPr>
              <w:t>Type of Assistance Instrument:</w:t>
            </w:r>
          </w:p>
        </w:tc>
        <w:tc>
          <w:tcPr>
            <w:tcW w:w="5850" w:type="dxa"/>
            <w:tcBorders>
              <w:bottom w:val="single" w:sz="4" w:space="0" w:color="auto"/>
            </w:tcBorders>
          </w:tcPr>
          <w:p w14:paraId="256BFA64" w14:textId="77777777" w:rsidR="00DD7A31" w:rsidRPr="00017495" w:rsidRDefault="00DD7A31" w:rsidP="00255356">
            <w:pPr>
              <w:ind w:left="0"/>
            </w:pPr>
            <w:r w:rsidRPr="00017495">
              <w:t>Grant</w:t>
            </w:r>
          </w:p>
        </w:tc>
      </w:tr>
      <w:tr w:rsidR="00DD7A31" w:rsidRPr="00017495" w14:paraId="450411B2" w14:textId="77777777" w:rsidTr="0071470B">
        <w:trPr>
          <w:jc w:val="center"/>
        </w:trPr>
        <w:tc>
          <w:tcPr>
            <w:tcW w:w="450" w:type="dxa"/>
          </w:tcPr>
          <w:p w14:paraId="302026EA" w14:textId="77777777" w:rsidR="00DD7A31" w:rsidRPr="00017495" w:rsidRDefault="00DD7A31" w:rsidP="00255356">
            <w:pPr>
              <w:numPr>
                <w:ilvl w:val="0"/>
                <w:numId w:val="1"/>
              </w:numPr>
              <w:spacing w:after="200" w:line="276" w:lineRule="auto"/>
              <w:ind w:hanging="360"/>
              <w:contextualSpacing/>
              <w:rPr>
                <w:color w:val="333333"/>
              </w:rPr>
            </w:pPr>
          </w:p>
        </w:tc>
        <w:tc>
          <w:tcPr>
            <w:tcW w:w="3600" w:type="dxa"/>
            <w:tcBorders>
              <w:right w:val="single" w:sz="4" w:space="0" w:color="auto"/>
            </w:tcBorders>
          </w:tcPr>
          <w:p w14:paraId="5C81A60A" w14:textId="77777777" w:rsidR="00DD7A31" w:rsidRPr="00017495" w:rsidRDefault="00DD7A31" w:rsidP="00255356">
            <w:pPr>
              <w:ind w:left="0"/>
              <w:rPr>
                <w:color w:val="auto"/>
              </w:rPr>
            </w:pPr>
            <w:r w:rsidRPr="00017495">
              <w:rPr>
                <w:color w:val="auto"/>
              </w:rPr>
              <w:t xml:space="preserve">Funding Opportunity Number: </w:t>
            </w:r>
            <w:r w:rsidRPr="00017495">
              <w:rPr>
                <w:color w:val="auto"/>
              </w:rPr>
              <w:tab/>
            </w:r>
          </w:p>
        </w:tc>
        <w:tc>
          <w:tcPr>
            <w:tcW w:w="5850" w:type="dxa"/>
            <w:tcBorders>
              <w:top w:val="single" w:sz="4" w:space="0" w:color="auto"/>
              <w:left w:val="single" w:sz="4" w:space="0" w:color="auto"/>
              <w:bottom w:val="single" w:sz="4" w:space="0" w:color="auto"/>
              <w:right w:val="single" w:sz="4" w:space="0" w:color="auto"/>
            </w:tcBorders>
            <w:shd w:val="clear" w:color="auto" w:fill="FFFFFF" w:themeFill="background1"/>
          </w:tcPr>
          <w:p w14:paraId="74CBAEF6" w14:textId="654470A8" w:rsidR="00DD7A31" w:rsidRPr="00E56E94" w:rsidRDefault="007726E5" w:rsidP="00255356">
            <w:pPr>
              <w:ind w:left="0"/>
            </w:pPr>
            <w:r w:rsidRPr="007726E5">
              <w:t>1687-599</w:t>
            </w:r>
          </w:p>
        </w:tc>
      </w:tr>
      <w:tr w:rsidR="00DD7A31" w:rsidRPr="00017495" w14:paraId="68AB9F12" w14:textId="77777777" w:rsidTr="0071470B">
        <w:trPr>
          <w:jc w:val="center"/>
        </w:trPr>
        <w:tc>
          <w:tcPr>
            <w:tcW w:w="450" w:type="dxa"/>
          </w:tcPr>
          <w:p w14:paraId="4827BD18" w14:textId="77777777" w:rsidR="00DD7A31" w:rsidRPr="00017495" w:rsidRDefault="00DD7A31" w:rsidP="00255356">
            <w:pPr>
              <w:numPr>
                <w:ilvl w:val="0"/>
                <w:numId w:val="1"/>
              </w:numPr>
              <w:spacing w:after="200" w:line="276" w:lineRule="auto"/>
              <w:ind w:hanging="360"/>
              <w:contextualSpacing/>
              <w:rPr>
                <w:color w:val="333333"/>
              </w:rPr>
            </w:pPr>
          </w:p>
        </w:tc>
        <w:tc>
          <w:tcPr>
            <w:tcW w:w="3600" w:type="dxa"/>
          </w:tcPr>
          <w:p w14:paraId="378E1CFB" w14:textId="77777777" w:rsidR="00DD7A31" w:rsidRPr="00017495" w:rsidRDefault="00DD7A31" w:rsidP="00255356">
            <w:pPr>
              <w:ind w:left="0"/>
              <w:rPr>
                <w:color w:val="auto"/>
              </w:rPr>
            </w:pPr>
            <w:r w:rsidRPr="00017495">
              <w:rPr>
                <w:color w:val="auto"/>
              </w:rPr>
              <w:t>Funding Opportunity Title:</w:t>
            </w:r>
          </w:p>
        </w:tc>
        <w:tc>
          <w:tcPr>
            <w:tcW w:w="5850" w:type="dxa"/>
            <w:tcBorders>
              <w:top w:val="single" w:sz="4" w:space="0" w:color="auto"/>
            </w:tcBorders>
          </w:tcPr>
          <w:p w14:paraId="61FAAC2A" w14:textId="3A602CED" w:rsidR="00DD7A31" w:rsidRPr="00E56E94" w:rsidRDefault="00DD7A31" w:rsidP="00255356">
            <w:pPr>
              <w:ind w:left="0"/>
            </w:pPr>
            <w:r w:rsidRPr="00E56E94">
              <w:t xml:space="preserve">Adult Redeploy Illinois – SFY19 </w:t>
            </w:r>
            <w:r w:rsidR="001A7635">
              <w:t xml:space="preserve">Planning </w:t>
            </w:r>
            <w:r w:rsidRPr="00E56E94">
              <w:t>Grant</w:t>
            </w:r>
          </w:p>
        </w:tc>
      </w:tr>
      <w:tr w:rsidR="00DD7A31" w:rsidRPr="00017495" w14:paraId="76ED2C24" w14:textId="77777777" w:rsidTr="0071470B">
        <w:trPr>
          <w:jc w:val="center"/>
        </w:trPr>
        <w:tc>
          <w:tcPr>
            <w:tcW w:w="450" w:type="dxa"/>
          </w:tcPr>
          <w:p w14:paraId="1B027140" w14:textId="77777777" w:rsidR="00DD7A31" w:rsidRPr="00017495" w:rsidRDefault="00DD7A31" w:rsidP="00255356">
            <w:pPr>
              <w:numPr>
                <w:ilvl w:val="0"/>
                <w:numId w:val="1"/>
              </w:numPr>
              <w:spacing w:after="200" w:line="276" w:lineRule="auto"/>
              <w:ind w:hanging="360"/>
              <w:contextualSpacing/>
              <w:rPr>
                <w:color w:val="363636"/>
              </w:rPr>
            </w:pPr>
          </w:p>
        </w:tc>
        <w:tc>
          <w:tcPr>
            <w:tcW w:w="3600" w:type="dxa"/>
          </w:tcPr>
          <w:p w14:paraId="47BF5374" w14:textId="77777777" w:rsidR="00DD7A31" w:rsidRPr="00017495" w:rsidRDefault="00DD7A31" w:rsidP="00255356">
            <w:pPr>
              <w:ind w:left="0"/>
              <w:rPr>
                <w:color w:val="auto"/>
              </w:rPr>
            </w:pPr>
            <w:r w:rsidRPr="00017495">
              <w:rPr>
                <w:color w:val="auto"/>
              </w:rPr>
              <w:t>CSFA Number:</w:t>
            </w:r>
          </w:p>
        </w:tc>
        <w:tc>
          <w:tcPr>
            <w:tcW w:w="5850" w:type="dxa"/>
          </w:tcPr>
          <w:p w14:paraId="11F1739E" w14:textId="4937FF64" w:rsidR="00DD7A31" w:rsidRPr="00E56E94" w:rsidRDefault="00FF70CF" w:rsidP="00E11F84">
            <w:pPr>
              <w:ind w:left="0"/>
            </w:pPr>
            <w:r w:rsidRPr="00FF70CF">
              <w:t>546-00-</w:t>
            </w:r>
            <w:r w:rsidR="000766DD">
              <w:t>1687</w:t>
            </w:r>
            <w:r w:rsidRPr="00FF70CF">
              <w:tab/>
            </w:r>
          </w:p>
        </w:tc>
      </w:tr>
      <w:tr w:rsidR="00DD7A31" w:rsidRPr="00017495" w14:paraId="3C8954FE" w14:textId="77777777" w:rsidTr="0071470B">
        <w:trPr>
          <w:jc w:val="center"/>
        </w:trPr>
        <w:tc>
          <w:tcPr>
            <w:tcW w:w="450" w:type="dxa"/>
          </w:tcPr>
          <w:p w14:paraId="03C366AE" w14:textId="77777777" w:rsidR="00DD7A31" w:rsidRPr="00017495" w:rsidRDefault="00DD7A31" w:rsidP="00255356">
            <w:pPr>
              <w:numPr>
                <w:ilvl w:val="0"/>
                <w:numId w:val="1"/>
              </w:numPr>
              <w:spacing w:after="200" w:line="276" w:lineRule="auto"/>
              <w:ind w:hanging="360"/>
              <w:contextualSpacing/>
              <w:rPr>
                <w:color w:val="333333"/>
              </w:rPr>
            </w:pPr>
          </w:p>
        </w:tc>
        <w:tc>
          <w:tcPr>
            <w:tcW w:w="3600" w:type="dxa"/>
          </w:tcPr>
          <w:p w14:paraId="7A46CF97" w14:textId="77777777" w:rsidR="00DD7A31" w:rsidRPr="00017495" w:rsidRDefault="00DD7A31" w:rsidP="00255356">
            <w:pPr>
              <w:ind w:left="0"/>
              <w:rPr>
                <w:color w:val="auto"/>
              </w:rPr>
            </w:pPr>
            <w:r w:rsidRPr="00017495">
              <w:rPr>
                <w:color w:val="auto"/>
              </w:rPr>
              <w:t>CSFA Popular Name:</w:t>
            </w:r>
          </w:p>
        </w:tc>
        <w:tc>
          <w:tcPr>
            <w:tcW w:w="5850" w:type="dxa"/>
            <w:tcBorders>
              <w:bottom w:val="single" w:sz="4" w:space="0" w:color="000000"/>
            </w:tcBorders>
          </w:tcPr>
          <w:p w14:paraId="0996BE68" w14:textId="77777777" w:rsidR="00DD7A31" w:rsidRPr="00E56E94" w:rsidRDefault="00DD7A31" w:rsidP="00255356">
            <w:pPr>
              <w:ind w:left="0"/>
              <w:rPr>
                <w:color w:val="auto"/>
              </w:rPr>
            </w:pPr>
            <w:r w:rsidRPr="00E56E94">
              <w:rPr>
                <w:color w:val="auto"/>
              </w:rPr>
              <w:t>Adult Redeploy Illinois (ARI) SFY19</w:t>
            </w:r>
          </w:p>
          <w:p w14:paraId="77135AA5" w14:textId="77777777" w:rsidR="00DD7A31" w:rsidRPr="00E56E94" w:rsidRDefault="00DD7A31" w:rsidP="00255356"/>
        </w:tc>
      </w:tr>
      <w:tr w:rsidR="00DD7A31" w:rsidRPr="00017495" w14:paraId="6CA2E708" w14:textId="77777777" w:rsidTr="0071470B">
        <w:trPr>
          <w:trHeight w:val="480"/>
          <w:jc w:val="center"/>
        </w:trPr>
        <w:tc>
          <w:tcPr>
            <w:tcW w:w="450" w:type="dxa"/>
          </w:tcPr>
          <w:p w14:paraId="7B8E6139" w14:textId="77777777" w:rsidR="00DD7A31" w:rsidRPr="00017495" w:rsidRDefault="00DD7A31" w:rsidP="00255356">
            <w:pPr>
              <w:numPr>
                <w:ilvl w:val="0"/>
                <w:numId w:val="1"/>
              </w:numPr>
              <w:spacing w:after="200" w:line="276" w:lineRule="auto"/>
              <w:ind w:hanging="360"/>
              <w:contextualSpacing/>
              <w:rPr>
                <w:color w:val="333333"/>
              </w:rPr>
            </w:pPr>
          </w:p>
        </w:tc>
        <w:tc>
          <w:tcPr>
            <w:tcW w:w="3600" w:type="dxa"/>
          </w:tcPr>
          <w:p w14:paraId="2034B674" w14:textId="77777777" w:rsidR="00DD7A31" w:rsidRPr="00017495" w:rsidRDefault="00DD7A31" w:rsidP="00255356">
            <w:pPr>
              <w:ind w:left="0"/>
              <w:rPr>
                <w:color w:val="auto"/>
              </w:rPr>
            </w:pPr>
            <w:r w:rsidRPr="00017495">
              <w:rPr>
                <w:color w:val="auto"/>
              </w:rPr>
              <w:t>CFDA Number(s):</w:t>
            </w:r>
          </w:p>
        </w:tc>
        <w:tc>
          <w:tcPr>
            <w:tcW w:w="5850" w:type="dxa"/>
            <w:tcBorders>
              <w:bottom w:val="single" w:sz="4" w:space="0" w:color="000000"/>
            </w:tcBorders>
            <w:shd w:val="clear" w:color="auto" w:fill="auto"/>
          </w:tcPr>
          <w:p w14:paraId="2148459A" w14:textId="77777777" w:rsidR="00DD7A31" w:rsidRPr="00E56E94" w:rsidRDefault="00DD7A31" w:rsidP="00255356">
            <w:pPr>
              <w:ind w:left="0"/>
            </w:pPr>
            <w:r w:rsidRPr="00E56E94">
              <w:t>N/A</w:t>
            </w:r>
          </w:p>
        </w:tc>
      </w:tr>
      <w:tr w:rsidR="00DD7A31" w:rsidRPr="00017495" w14:paraId="34A4E9B7" w14:textId="77777777" w:rsidTr="0071470B">
        <w:trPr>
          <w:jc w:val="center"/>
        </w:trPr>
        <w:tc>
          <w:tcPr>
            <w:tcW w:w="450" w:type="dxa"/>
          </w:tcPr>
          <w:p w14:paraId="4085FFB0" w14:textId="77777777" w:rsidR="00DD7A31" w:rsidRPr="00017495" w:rsidRDefault="00DD7A31" w:rsidP="00255356">
            <w:pPr>
              <w:numPr>
                <w:ilvl w:val="0"/>
                <w:numId w:val="1"/>
              </w:numPr>
              <w:spacing w:after="200" w:line="276" w:lineRule="auto"/>
              <w:ind w:hanging="360"/>
              <w:contextualSpacing/>
              <w:rPr>
                <w:color w:val="333333"/>
              </w:rPr>
            </w:pPr>
          </w:p>
        </w:tc>
        <w:tc>
          <w:tcPr>
            <w:tcW w:w="3600" w:type="dxa"/>
          </w:tcPr>
          <w:p w14:paraId="6FAEDE6C" w14:textId="77777777" w:rsidR="00DD7A31" w:rsidRPr="00017495" w:rsidRDefault="00DD7A31" w:rsidP="00255356">
            <w:pPr>
              <w:ind w:left="0"/>
              <w:rPr>
                <w:color w:val="auto"/>
              </w:rPr>
            </w:pPr>
            <w:r w:rsidRPr="00017495">
              <w:rPr>
                <w:color w:val="auto"/>
              </w:rPr>
              <w:t>Anticipated Number of Awards:</w:t>
            </w:r>
          </w:p>
        </w:tc>
        <w:tc>
          <w:tcPr>
            <w:tcW w:w="5850" w:type="dxa"/>
            <w:tcBorders>
              <w:bottom w:val="single" w:sz="4" w:space="0" w:color="000000"/>
            </w:tcBorders>
            <w:shd w:val="clear" w:color="auto" w:fill="auto"/>
          </w:tcPr>
          <w:p w14:paraId="2297CD1F" w14:textId="6F6D451A" w:rsidR="00DD7A31" w:rsidRPr="00E56E94" w:rsidRDefault="00FF70CF" w:rsidP="00E11F84">
            <w:pPr>
              <w:ind w:left="0"/>
            </w:pPr>
            <w:r>
              <w:t>3 – 6</w:t>
            </w:r>
          </w:p>
        </w:tc>
      </w:tr>
      <w:tr w:rsidR="00DD7A31" w:rsidRPr="00017495" w14:paraId="0273CB15" w14:textId="77777777" w:rsidTr="0071470B">
        <w:trPr>
          <w:jc w:val="center"/>
        </w:trPr>
        <w:tc>
          <w:tcPr>
            <w:tcW w:w="450" w:type="dxa"/>
          </w:tcPr>
          <w:p w14:paraId="35A6E7F3" w14:textId="77777777" w:rsidR="00DD7A31" w:rsidRPr="00017495" w:rsidRDefault="00DD7A31" w:rsidP="00255356">
            <w:pPr>
              <w:numPr>
                <w:ilvl w:val="0"/>
                <w:numId w:val="1"/>
              </w:numPr>
              <w:spacing w:after="200" w:line="276" w:lineRule="auto"/>
              <w:ind w:hanging="360"/>
              <w:contextualSpacing/>
              <w:rPr>
                <w:color w:val="333333"/>
              </w:rPr>
            </w:pPr>
          </w:p>
        </w:tc>
        <w:tc>
          <w:tcPr>
            <w:tcW w:w="3600" w:type="dxa"/>
          </w:tcPr>
          <w:p w14:paraId="5F1D2047" w14:textId="77777777" w:rsidR="00DD7A31" w:rsidRPr="00017495" w:rsidRDefault="00DD7A31" w:rsidP="00255356">
            <w:pPr>
              <w:ind w:left="0"/>
              <w:rPr>
                <w:color w:val="auto"/>
              </w:rPr>
            </w:pPr>
            <w:r w:rsidRPr="00017495">
              <w:rPr>
                <w:color w:val="auto"/>
              </w:rPr>
              <w:t>Estimated Total Program Funding:</w:t>
            </w:r>
          </w:p>
        </w:tc>
        <w:tc>
          <w:tcPr>
            <w:tcW w:w="5850" w:type="dxa"/>
            <w:tcBorders>
              <w:bottom w:val="single" w:sz="4" w:space="0" w:color="000000"/>
            </w:tcBorders>
            <w:shd w:val="clear" w:color="auto" w:fill="FFFFFF" w:themeFill="background1"/>
          </w:tcPr>
          <w:p w14:paraId="7B6C3D2C" w14:textId="333D9170" w:rsidR="00DD7A31" w:rsidRPr="00E56E94" w:rsidRDefault="00EF5D72" w:rsidP="00F01010">
            <w:pPr>
              <w:ind w:left="0"/>
            </w:pPr>
            <w:r w:rsidRPr="00E56E94">
              <w:t>$</w:t>
            </w:r>
            <w:r w:rsidR="003753BF">
              <w:t>2</w:t>
            </w:r>
            <w:r w:rsidRPr="00E56E94">
              <w:t>00,000</w:t>
            </w:r>
          </w:p>
        </w:tc>
      </w:tr>
      <w:tr w:rsidR="00DD7A31" w:rsidRPr="00017495" w14:paraId="633D2C17" w14:textId="77777777" w:rsidTr="0071470B">
        <w:trPr>
          <w:jc w:val="center"/>
        </w:trPr>
        <w:tc>
          <w:tcPr>
            <w:tcW w:w="450" w:type="dxa"/>
          </w:tcPr>
          <w:p w14:paraId="2F428F1D" w14:textId="77777777" w:rsidR="00DD7A31" w:rsidRPr="00017495" w:rsidRDefault="00DD7A31" w:rsidP="00255356">
            <w:pPr>
              <w:numPr>
                <w:ilvl w:val="0"/>
                <w:numId w:val="1"/>
              </w:numPr>
              <w:spacing w:after="200" w:line="276" w:lineRule="auto"/>
              <w:ind w:hanging="360"/>
              <w:contextualSpacing/>
            </w:pPr>
          </w:p>
        </w:tc>
        <w:tc>
          <w:tcPr>
            <w:tcW w:w="3600" w:type="dxa"/>
          </w:tcPr>
          <w:p w14:paraId="27792501" w14:textId="77777777" w:rsidR="00DD7A31" w:rsidRPr="00017495" w:rsidRDefault="00DD7A31" w:rsidP="00255356">
            <w:pPr>
              <w:ind w:left="0"/>
              <w:rPr>
                <w:color w:val="auto"/>
              </w:rPr>
            </w:pPr>
            <w:r w:rsidRPr="00017495">
              <w:rPr>
                <w:color w:val="auto"/>
              </w:rPr>
              <w:t>Award Range</w:t>
            </w:r>
          </w:p>
        </w:tc>
        <w:tc>
          <w:tcPr>
            <w:tcW w:w="5850" w:type="dxa"/>
            <w:shd w:val="clear" w:color="auto" w:fill="FFFFFF" w:themeFill="background1"/>
          </w:tcPr>
          <w:p w14:paraId="6D8D5D32" w14:textId="5C013DFF" w:rsidR="00DD7A31" w:rsidRPr="00E56E94" w:rsidRDefault="00DA5E5B" w:rsidP="00F01010">
            <w:pPr>
              <w:ind w:left="0"/>
            </w:pPr>
            <w:r>
              <w:t>$</w:t>
            </w:r>
            <w:r w:rsidR="00F01010">
              <w:t>10</w:t>
            </w:r>
            <w:r>
              <w:t>,000 - $</w:t>
            </w:r>
            <w:r w:rsidR="0042437E">
              <w:t>3</w:t>
            </w:r>
            <w:r>
              <w:t>0,000</w:t>
            </w:r>
          </w:p>
        </w:tc>
      </w:tr>
      <w:tr w:rsidR="00DD7A31" w:rsidRPr="00017495" w14:paraId="69866B1B" w14:textId="77777777" w:rsidTr="0071470B">
        <w:trPr>
          <w:jc w:val="center"/>
        </w:trPr>
        <w:tc>
          <w:tcPr>
            <w:tcW w:w="450" w:type="dxa"/>
          </w:tcPr>
          <w:p w14:paraId="3CD161F8" w14:textId="77777777" w:rsidR="00DD7A31" w:rsidRPr="00017495" w:rsidRDefault="00DD7A31" w:rsidP="00255356">
            <w:pPr>
              <w:numPr>
                <w:ilvl w:val="0"/>
                <w:numId w:val="1"/>
              </w:numPr>
              <w:spacing w:after="200" w:line="276" w:lineRule="auto"/>
              <w:ind w:hanging="360"/>
              <w:contextualSpacing/>
            </w:pPr>
          </w:p>
        </w:tc>
        <w:tc>
          <w:tcPr>
            <w:tcW w:w="3600" w:type="dxa"/>
          </w:tcPr>
          <w:p w14:paraId="47A84B59" w14:textId="77777777" w:rsidR="00DD7A31" w:rsidRPr="00017495" w:rsidRDefault="00DD7A31" w:rsidP="00255356">
            <w:pPr>
              <w:ind w:left="0"/>
              <w:rPr>
                <w:color w:val="auto"/>
              </w:rPr>
            </w:pPr>
            <w:r w:rsidRPr="00017495">
              <w:rPr>
                <w:color w:val="auto"/>
              </w:rPr>
              <w:t>Source of Funding:</w:t>
            </w:r>
          </w:p>
        </w:tc>
        <w:tc>
          <w:tcPr>
            <w:tcW w:w="5850" w:type="dxa"/>
            <w:shd w:val="clear" w:color="auto" w:fill="FFFFFF" w:themeFill="background1"/>
          </w:tcPr>
          <w:p w14:paraId="1E5F7086" w14:textId="77777777" w:rsidR="00DD7A31" w:rsidRPr="00E56E94" w:rsidRDefault="00DD7A31" w:rsidP="00255356">
            <w:pPr>
              <w:ind w:left="18" w:hanging="18"/>
            </w:pPr>
            <w:r w:rsidRPr="00E56E94">
              <w:t>□  Federal or Federal pass-through</w:t>
            </w:r>
          </w:p>
          <w:p w14:paraId="4E6C7A54" w14:textId="77777777" w:rsidR="00DD7A31" w:rsidRPr="00E56E94" w:rsidRDefault="00DD7A31" w:rsidP="00255356">
            <w:pPr>
              <w:ind w:left="36" w:hanging="18"/>
            </w:pPr>
            <w:r w:rsidRPr="00E56E94">
              <w:t xml:space="preserve">X State </w:t>
            </w:r>
          </w:p>
          <w:p w14:paraId="329DC474" w14:textId="77777777" w:rsidR="00DD7A31" w:rsidRPr="00E56E94" w:rsidRDefault="00DD7A31" w:rsidP="00255356">
            <w:pPr>
              <w:ind w:left="54" w:hanging="18"/>
            </w:pPr>
            <w:r w:rsidRPr="00E56E94">
              <w:t xml:space="preserve">□ Private / other funding </w:t>
            </w:r>
          </w:p>
        </w:tc>
      </w:tr>
      <w:tr w:rsidR="00DD7A31" w:rsidRPr="00017495" w14:paraId="342D08A2" w14:textId="77777777" w:rsidTr="0071470B">
        <w:trPr>
          <w:jc w:val="center"/>
        </w:trPr>
        <w:tc>
          <w:tcPr>
            <w:tcW w:w="450" w:type="dxa"/>
          </w:tcPr>
          <w:p w14:paraId="64C7EA42" w14:textId="77777777" w:rsidR="00DD7A31" w:rsidRPr="00017495" w:rsidRDefault="00DD7A31" w:rsidP="00255356">
            <w:pPr>
              <w:numPr>
                <w:ilvl w:val="0"/>
                <w:numId w:val="1"/>
              </w:numPr>
              <w:spacing w:after="200" w:line="276" w:lineRule="auto"/>
              <w:ind w:hanging="360"/>
              <w:contextualSpacing/>
              <w:rPr>
                <w:color w:val="333333"/>
              </w:rPr>
            </w:pPr>
          </w:p>
        </w:tc>
        <w:tc>
          <w:tcPr>
            <w:tcW w:w="3600" w:type="dxa"/>
          </w:tcPr>
          <w:p w14:paraId="6472E50E" w14:textId="77777777" w:rsidR="00DD7A31" w:rsidRPr="00017495" w:rsidRDefault="00DD7A31" w:rsidP="00255356">
            <w:pPr>
              <w:ind w:left="0"/>
              <w:rPr>
                <w:color w:val="auto"/>
              </w:rPr>
            </w:pPr>
            <w:r w:rsidRPr="00017495">
              <w:rPr>
                <w:color w:val="auto"/>
              </w:rPr>
              <w:t>Cost Sharing or Matching Requirement:</w:t>
            </w:r>
          </w:p>
        </w:tc>
        <w:tc>
          <w:tcPr>
            <w:tcW w:w="5850" w:type="dxa"/>
            <w:shd w:val="clear" w:color="auto" w:fill="FFFFFF" w:themeFill="background1"/>
          </w:tcPr>
          <w:p w14:paraId="26CA2653" w14:textId="77777777" w:rsidR="00DD7A31" w:rsidRPr="00E56E94" w:rsidRDefault="00DD7A31" w:rsidP="00255356">
            <w:pPr>
              <w:ind w:left="0"/>
            </w:pPr>
            <w:r w:rsidRPr="00E56E94">
              <w:t xml:space="preserve">□ Yes    X No   </w:t>
            </w:r>
          </w:p>
        </w:tc>
      </w:tr>
      <w:tr w:rsidR="00DD7A31" w:rsidRPr="00017495" w14:paraId="618F269C" w14:textId="77777777" w:rsidTr="0071470B">
        <w:trPr>
          <w:jc w:val="center"/>
        </w:trPr>
        <w:tc>
          <w:tcPr>
            <w:tcW w:w="450" w:type="dxa"/>
          </w:tcPr>
          <w:p w14:paraId="3EB0F775" w14:textId="77777777" w:rsidR="00DD7A31" w:rsidRPr="00017495" w:rsidRDefault="00DD7A31" w:rsidP="00255356">
            <w:pPr>
              <w:numPr>
                <w:ilvl w:val="0"/>
                <w:numId w:val="1"/>
              </w:numPr>
              <w:spacing w:after="200" w:line="276" w:lineRule="auto"/>
              <w:ind w:hanging="360"/>
              <w:contextualSpacing/>
            </w:pPr>
          </w:p>
        </w:tc>
        <w:tc>
          <w:tcPr>
            <w:tcW w:w="3600" w:type="dxa"/>
          </w:tcPr>
          <w:p w14:paraId="26121DB8" w14:textId="77777777" w:rsidR="00DD7A31" w:rsidRPr="00017495" w:rsidRDefault="00DD7A31" w:rsidP="00255356">
            <w:pPr>
              <w:ind w:left="0"/>
              <w:rPr>
                <w:color w:val="auto"/>
              </w:rPr>
            </w:pPr>
            <w:r w:rsidRPr="00017495">
              <w:rPr>
                <w:color w:val="auto"/>
              </w:rPr>
              <w:t>Indirect Costs Allowed</w:t>
            </w:r>
          </w:p>
          <w:p w14:paraId="200AE9FF" w14:textId="77777777" w:rsidR="00DD7A31" w:rsidRPr="00017495" w:rsidRDefault="00DD7A31" w:rsidP="00255356">
            <w:pPr>
              <w:ind w:left="0"/>
              <w:rPr>
                <w:color w:val="auto"/>
              </w:rPr>
            </w:pPr>
            <w:r w:rsidRPr="00017495">
              <w:rPr>
                <w:color w:val="auto"/>
              </w:rPr>
              <w:t>Restrictions on Indirect Costs</w:t>
            </w:r>
          </w:p>
          <w:p w14:paraId="5DBFA06B" w14:textId="77777777" w:rsidR="00DD7A31" w:rsidRPr="00017495" w:rsidRDefault="00DD7A31" w:rsidP="00255356">
            <w:pPr>
              <w:rPr>
                <w:color w:val="auto"/>
              </w:rPr>
            </w:pPr>
          </w:p>
        </w:tc>
        <w:tc>
          <w:tcPr>
            <w:tcW w:w="5850" w:type="dxa"/>
            <w:tcBorders>
              <w:bottom w:val="single" w:sz="4" w:space="0" w:color="000000"/>
            </w:tcBorders>
            <w:shd w:val="clear" w:color="auto" w:fill="FFFFFF" w:themeFill="background1"/>
          </w:tcPr>
          <w:p w14:paraId="1B7A1F56" w14:textId="77777777" w:rsidR="00DD7A31" w:rsidRPr="00E56E94" w:rsidRDefault="00DD7A31" w:rsidP="00255356">
            <w:pPr>
              <w:ind w:left="0"/>
            </w:pPr>
            <w:r w:rsidRPr="00E56E94">
              <w:t xml:space="preserve">X Yes    □ No   </w:t>
            </w:r>
          </w:p>
          <w:p w14:paraId="3710E063" w14:textId="77777777" w:rsidR="00DD7A31" w:rsidRPr="00E56E94" w:rsidRDefault="00DD7A31" w:rsidP="00255356">
            <w:pPr>
              <w:ind w:left="0"/>
            </w:pPr>
            <w:r w:rsidRPr="00E56E94">
              <w:t xml:space="preserve">□ Yes    X No   </w:t>
            </w:r>
          </w:p>
          <w:p w14:paraId="1D7D0E02" w14:textId="77777777" w:rsidR="00DD7A31" w:rsidRPr="00E56E94" w:rsidRDefault="00DD7A31" w:rsidP="00255356">
            <w:pPr>
              <w:ind w:left="0"/>
            </w:pPr>
            <w:r w:rsidRPr="00E56E94">
              <w:t xml:space="preserve">If yes, provide the citation governing the restriction:  </w:t>
            </w:r>
          </w:p>
        </w:tc>
      </w:tr>
      <w:tr w:rsidR="00DD7A31" w:rsidRPr="00017495" w14:paraId="442C9909" w14:textId="77777777" w:rsidTr="0071470B">
        <w:trPr>
          <w:jc w:val="center"/>
        </w:trPr>
        <w:tc>
          <w:tcPr>
            <w:tcW w:w="450" w:type="dxa"/>
          </w:tcPr>
          <w:p w14:paraId="4BC91E3D" w14:textId="77777777" w:rsidR="00DD7A31" w:rsidRPr="00017495" w:rsidRDefault="00DD7A31" w:rsidP="00255356">
            <w:pPr>
              <w:numPr>
                <w:ilvl w:val="0"/>
                <w:numId w:val="1"/>
              </w:numPr>
              <w:spacing w:after="200" w:line="276" w:lineRule="auto"/>
              <w:ind w:hanging="360"/>
              <w:contextualSpacing/>
              <w:rPr>
                <w:color w:val="333333"/>
              </w:rPr>
            </w:pPr>
          </w:p>
        </w:tc>
        <w:tc>
          <w:tcPr>
            <w:tcW w:w="3600" w:type="dxa"/>
          </w:tcPr>
          <w:p w14:paraId="7D99F5C1" w14:textId="77777777" w:rsidR="00DD7A31" w:rsidRPr="00017495" w:rsidRDefault="00DD7A31" w:rsidP="00255356">
            <w:pPr>
              <w:ind w:left="0"/>
              <w:rPr>
                <w:color w:val="auto"/>
              </w:rPr>
            </w:pPr>
            <w:r w:rsidRPr="00017495">
              <w:rPr>
                <w:color w:val="auto"/>
              </w:rPr>
              <w:t xml:space="preserve">Posted Date: </w:t>
            </w:r>
            <w:r w:rsidRPr="00017495">
              <w:rPr>
                <w:color w:val="auto"/>
              </w:rPr>
              <w:tab/>
            </w:r>
          </w:p>
        </w:tc>
        <w:tc>
          <w:tcPr>
            <w:tcW w:w="5850" w:type="dxa"/>
            <w:shd w:val="clear" w:color="auto" w:fill="FFFFFF" w:themeFill="background1"/>
          </w:tcPr>
          <w:p w14:paraId="1675E706" w14:textId="310836E1" w:rsidR="00DD7A31" w:rsidRPr="00E56E94" w:rsidRDefault="00FF70CF" w:rsidP="00255356">
            <w:pPr>
              <w:ind w:left="0"/>
            </w:pPr>
            <w:r>
              <w:t xml:space="preserve">September </w:t>
            </w:r>
            <w:r w:rsidR="001342B8">
              <w:t>2</w:t>
            </w:r>
            <w:r w:rsidR="00995046">
              <w:t>6</w:t>
            </w:r>
            <w:r>
              <w:t>, 2018</w:t>
            </w:r>
          </w:p>
        </w:tc>
      </w:tr>
      <w:tr w:rsidR="00DD7A31" w:rsidRPr="00017495" w14:paraId="65F3E817" w14:textId="77777777" w:rsidTr="0071470B">
        <w:trPr>
          <w:jc w:val="center"/>
        </w:trPr>
        <w:tc>
          <w:tcPr>
            <w:tcW w:w="450" w:type="dxa"/>
          </w:tcPr>
          <w:p w14:paraId="7DF7CF86" w14:textId="77777777" w:rsidR="00DD7A31" w:rsidRPr="00017495" w:rsidRDefault="00DD7A31" w:rsidP="00255356">
            <w:pPr>
              <w:numPr>
                <w:ilvl w:val="0"/>
                <w:numId w:val="1"/>
              </w:numPr>
              <w:spacing w:after="200" w:line="276" w:lineRule="auto"/>
              <w:ind w:hanging="360"/>
              <w:contextualSpacing/>
              <w:rPr>
                <w:color w:val="333333"/>
              </w:rPr>
            </w:pPr>
          </w:p>
        </w:tc>
        <w:tc>
          <w:tcPr>
            <w:tcW w:w="3600" w:type="dxa"/>
          </w:tcPr>
          <w:p w14:paraId="26E13F0B" w14:textId="77777777" w:rsidR="00DD7A31" w:rsidRPr="00017495" w:rsidRDefault="00DD7A31" w:rsidP="00255356">
            <w:pPr>
              <w:ind w:left="0"/>
              <w:rPr>
                <w:color w:val="auto"/>
              </w:rPr>
            </w:pPr>
            <w:r w:rsidRPr="00017495">
              <w:rPr>
                <w:color w:val="auto"/>
              </w:rPr>
              <w:t>Closing Date for Applications:</w:t>
            </w:r>
          </w:p>
        </w:tc>
        <w:tc>
          <w:tcPr>
            <w:tcW w:w="5850" w:type="dxa"/>
            <w:shd w:val="clear" w:color="auto" w:fill="FFFFFF" w:themeFill="background1"/>
          </w:tcPr>
          <w:p w14:paraId="2A3C4A1C" w14:textId="03A9D169" w:rsidR="00DD7A31" w:rsidRPr="00E56E94" w:rsidRDefault="00FF70CF" w:rsidP="00606A36">
            <w:pPr>
              <w:ind w:left="0"/>
            </w:pPr>
            <w:r>
              <w:t xml:space="preserve">October </w:t>
            </w:r>
            <w:r w:rsidR="001342B8">
              <w:t>26</w:t>
            </w:r>
            <w:r>
              <w:t>, 2018</w:t>
            </w:r>
          </w:p>
        </w:tc>
      </w:tr>
      <w:tr w:rsidR="00DD7A31" w:rsidRPr="00017495" w14:paraId="1474DC2D" w14:textId="77777777" w:rsidTr="0071470B">
        <w:trPr>
          <w:jc w:val="center"/>
        </w:trPr>
        <w:tc>
          <w:tcPr>
            <w:tcW w:w="450" w:type="dxa"/>
          </w:tcPr>
          <w:p w14:paraId="591BA4FA" w14:textId="77777777" w:rsidR="00DD7A31" w:rsidRPr="00017495" w:rsidRDefault="00DD7A31" w:rsidP="00255356">
            <w:pPr>
              <w:numPr>
                <w:ilvl w:val="0"/>
                <w:numId w:val="1"/>
              </w:numPr>
              <w:spacing w:after="200" w:line="276" w:lineRule="auto"/>
              <w:ind w:hanging="360"/>
              <w:contextualSpacing/>
              <w:rPr>
                <w:color w:val="333333"/>
              </w:rPr>
            </w:pPr>
          </w:p>
        </w:tc>
        <w:tc>
          <w:tcPr>
            <w:tcW w:w="3600" w:type="dxa"/>
          </w:tcPr>
          <w:p w14:paraId="1494F6DF" w14:textId="77777777" w:rsidR="00DD7A31" w:rsidRPr="00017495" w:rsidRDefault="00DD7A31" w:rsidP="00255356">
            <w:pPr>
              <w:ind w:left="0"/>
              <w:rPr>
                <w:color w:val="auto"/>
              </w:rPr>
            </w:pPr>
            <w:r w:rsidRPr="00017495">
              <w:rPr>
                <w:color w:val="auto"/>
              </w:rPr>
              <w:t>Technical Assistance Session:</w:t>
            </w:r>
          </w:p>
        </w:tc>
        <w:tc>
          <w:tcPr>
            <w:tcW w:w="5850" w:type="dxa"/>
          </w:tcPr>
          <w:p w14:paraId="31CF79A4" w14:textId="1C87E7C2" w:rsidR="00DD7A31" w:rsidRPr="00017495" w:rsidRDefault="00DD7A31" w:rsidP="00255356">
            <w:pPr>
              <w:ind w:left="0"/>
            </w:pPr>
            <w:r w:rsidRPr="00017495">
              <w:t xml:space="preserve">Session Offered:  </w:t>
            </w:r>
            <w:r w:rsidR="001342B8" w:rsidRPr="00017495">
              <w:t>□</w:t>
            </w:r>
            <w:r w:rsidR="00FF70CF" w:rsidRPr="00017495">
              <w:t xml:space="preserve"> </w:t>
            </w:r>
            <w:r w:rsidRPr="00017495">
              <w:t xml:space="preserve">  </w:t>
            </w:r>
            <w:r w:rsidR="00DF64FC" w:rsidRPr="00017495">
              <w:t xml:space="preserve">Yes </w:t>
            </w:r>
            <w:r w:rsidR="00DF64FC">
              <w:t xml:space="preserve">  </w:t>
            </w:r>
            <w:r w:rsidR="00DF64FC" w:rsidRPr="00017495">
              <w:t>X</w:t>
            </w:r>
            <w:r w:rsidRPr="00017495">
              <w:t xml:space="preserve">  No   </w:t>
            </w:r>
          </w:p>
          <w:p w14:paraId="7F7A5DFE" w14:textId="77777777" w:rsidR="00DD7A31" w:rsidRPr="00017495" w:rsidRDefault="00DD7A31" w:rsidP="00255356">
            <w:pPr>
              <w:ind w:left="0"/>
            </w:pPr>
            <w:r w:rsidRPr="00017495">
              <w:t xml:space="preserve">Session Mandatory:  □ Yes  </w:t>
            </w:r>
            <w:r>
              <w:t>X</w:t>
            </w:r>
            <w:r w:rsidRPr="00017495">
              <w:t xml:space="preserve">   No   </w:t>
            </w:r>
          </w:p>
        </w:tc>
      </w:tr>
    </w:tbl>
    <w:p w14:paraId="1AA6F33F" w14:textId="77777777" w:rsidR="00F808E9" w:rsidRPr="00017495" w:rsidRDefault="006D2857">
      <w:r w:rsidRPr="00017495">
        <w:br w:type="page"/>
      </w:r>
    </w:p>
    <w:p w14:paraId="11CE8990" w14:textId="6A86F7ED" w:rsidR="00F808E9" w:rsidRPr="00017495" w:rsidRDefault="006D2857" w:rsidP="00725744">
      <w:pPr>
        <w:pStyle w:val="ListParagraph"/>
        <w:numPr>
          <w:ilvl w:val="0"/>
          <w:numId w:val="35"/>
        </w:numPr>
        <w:ind w:left="360"/>
        <w:rPr>
          <w:sz w:val="28"/>
          <w:szCs w:val="28"/>
        </w:rPr>
      </w:pPr>
      <w:r w:rsidRPr="00017495">
        <w:rPr>
          <w:b/>
          <w:sz w:val="28"/>
          <w:szCs w:val="28"/>
        </w:rPr>
        <w:lastRenderedPageBreak/>
        <w:t>Program Description</w:t>
      </w:r>
    </w:p>
    <w:p w14:paraId="11B9DB2A" w14:textId="77777777" w:rsidR="00414C97" w:rsidRPr="00F2334A" w:rsidRDefault="00414C97" w:rsidP="00B20B88">
      <w:pPr>
        <w:pStyle w:val="ListParagraph"/>
        <w:ind w:left="360"/>
      </w:pPr>
    </w:p>
    <w:p w14:paraId="00107160" w14:textId="39AE1463" w:rsidR="00414C97" w:rsidRDefault="00C145C2" w:rsidP="00CC13E7">
      <w:pPr>
        <w:ind w:left="0"/>
      </w:pPr>
      <w:r w:rsidRPr="00017495">
        <w:rPr>
          <w:lang w:bidi="en-US"/>
        </w:rPr>
        <w:t>Adult Redeploy Illinois (ARI) was established by t</w:t>
      </w:r>
      <w:r w:rsidR="00570E65" w:rsidRPr="00017495">
        <w:rPr>
          <w:lang w:bidi="en-US"/>
        </w:rPr>
        <w:t>he</w:t>
      </w:r>
      <w:r w:rsidR="009E696A" w:rsidRPr="00017495">
        <w:rPr>
          <w:lang w:bidi="en-US"/>
        </w:rPr>
        <w:t xml:space="preserve"> Illinois</w:t>
      </w:r>
      <w:r w:rsidR="00570E65" w:rsidRPr="00017495">
        <w:rPr>
          <w:lang w:bidi="en-US"/>
        </w:rPr>
        <w:t xml:space="preserve"> Crime Reduction Act </w:t>
      </w:r>
      <w:r w:rsidR="009E696A" w:rsidRPr="00017495">
        <w:rPr>
          <w:lang w:bidi="en-US"/>
        </w:rPr>
        <w:t xml:space="preserve">of 2009 </w:t>
      </w:r>
      <w:r w:rsidR="00570E65" w:rsidRPr="00017495">
        <w:rPr>
          <w:lang w:bidi="en-US"/>
        </w:rPr>
        <w:t>(Public Act 96-0761)</w:t>
      </w:r>
      <w:r w:rsidRPr="00017495">
        <w:rPr>
          <w:lang w:bidi="en-US"/>
        </w:rPr>
        <w:t xml:space="preserve"> to</w:t>
      </w:r>
      <w:r w:rsidR="00570E65" w:rsidRPr="00017495">
        <w:rPr>
          <w:lang w:bidi="en-US"/>
        </w:rPr>
        <w:t xml:space="preserve"> </w:t>
      </w:r>
      <w:r w:rsidR="00E7335C" w:rsidRPr="00017495">
        <w:rPr>
          <w:lang w:bidi="en-US"/>
        </w:rPr>
        <w:t>“</w:t>
      </w:r>
      <w:r w:rsidR="00E7335C" w:rsidRPr="00017495">
        <w:rPr>
          <w:rFonts w:eastAsia="Courier New"/>
        </w:rPr>
        <w:t>increase public safety and encourage the successful local supervision of eligible offenders and their reintegration into the locality</w:t>
      </w:r>
      <w:r w:rsidR="00E7335C" w:rsidRPr="00017495">
        <w:t>.”</w:t>
      </w:r>
      <w:r w:rsidR="00570E65" w:rsidRPr="00017495">
        <w:t xml:space="preserve"> Under </w:t>
      </w:r>
      <w:r w:rsidR="009E696A" w:rsidRPr="00017495">
        <w:t xml:space="preserve">the Crime Reduction </w:t>
      </w:r>
      <w:r w:rsidR="00570E65" w:rsidRPr="00017495">
        <w:t xml:space="preserve">Act, </w:t>
      </w:r>
      <w:r w:rsidR="00C90D4E" w:rsidRPr="00017495">
        <w:t xml:space="preserve">ARI provides </w:t>
      </w:r>
      <w:r w:rsidR="00570E65" w:rsidRPr="00017495">
        <w:t xml:space="preserve">financial incentives </w:t>
      </w:r>
      <w:r w:rsidR="00C90D4E" w:rsidRPr="00017495">
        <w:t xml:space="preserve">(grants) </w:t>
      </w:r>
      <w:r w:rsidR="00570E65" w:rsidRPr="00017495">
        <w:t>to counties, groups of counties</w:t>
      </w:r>
      <w:r w:rsidR="00CB448D">
        <w:t>,</w:t>
      </w:r>
      <w:r w:rsidR="00570E65" w:rsidRPr="00017495">
        <w:t xml:space="preserve"> </w:t>
      </w:r>
      <w:r w:rsidR="00C90D4E" w:rsidRPr="00017495">
        <w:t xml:space="preserve">and </w:t>
      </w:r>
      <w:r w:rsidR="00570E65" w:rsidRPr="00017495">
        <w:t xml:space="preserve">judicial circuits to increase </w:t>
      </w:r>
      <w:r w:rsidR="00E7335C" w:rsidRPr="00017495">
        <w:t xml:space="preserve">local-level </w:t>
      </w:r>
      <w:r w:rsidR="00851A4F" w:rsidRPr="00017495">
        <w:t xml:space="preserve">evidence-based </w:t>
      </w:r>
      <w:r w:rsidR="00C90D4E" w:rsidRPr="00017495">
        <w:t>programming</w:t>
      </w:r>
      <w:r w:rsidR="00E7335C" w:rsidRPr="00017495">
        <w:t xml:space="preserve"> for </w:t>
      </w:r>
      <w:r w:rsidR="0057739E">
        <w:t>probation-eligible</w:t>
      </w:r>
      <w:r w:rsidR="00E7335C" w:rsidRPr="00017495">
        <w:t xml:space="preserve"> offenders</w:t>
      </w:r>
      <w:r w:rsidR="00B02517">
        <w:t xml:space="preserve"> who are at moderate to high risk of reoffending and are prison-bound</w:t>
      </w:r>
      <w:r w:rsidR="005B0E7B" w:rsidRPr="00017495">
        <w:t>.</w:t>
      </w:r>
      <w:r w:rsidR="003B0280">
        <w:rPr>
          <w:rStyle w:val="FootnoteReference"/>
        </w:rPr>
        <w:footnoteReference w:id="1"/>
      </w:r>
      <w:r w:rsidR="005B0E7B" w:rsidRPr="00017495">
        <w:t xml:space="preserve"> In </w:t>
      </w:r>
      <w:r w:rsidR="004E3C7B" w:rsidRPr="00017495">
        <w:t xml:space="preserve">exchange </w:t>
      </w:r>
      <w:r w:rsidR="005B0E7B" w:rsidRPr="00017495">
        <w:t>for the funding, jurisdictions agree to reduce</w:t>
      </w:r>
      <w:r w:rsidR="004E3C7B" w:rsidRPr="00017495">
        <w:t xml:space="preserve"> the number of people they send to the Illinois Department of Corrections (IDOC), with penalties if they do not meet the reduction goal. R</w:t>
      </w:r>
      <w:r w:rsidR="00E7335C" w:rsidRPr="00017495">
        <w:t xml:space="preserve">esearch </w:t>
      </w:r>
      <w:r w:rsidR="00414C97">
        <w:t xml:space="preserve">has </w:t>
      </w:r>
      <w:r w:rsidR="00E7335C" w:rsidRPr="00017495">
        <w:t>show</w:t>
      </w:r>
      <w:r w:rsidR="00414C97">
        <w:t>n</w:t>
      </w:r>
      <w:r w:rsidR="00E7335C" w:rsidRPr="00017495">
        <w:t xml:space="preserve"> </w:t>
      </w:r>
      <w:r w:rsidR="00E47737" w:rsidRPr="00017495">
        <w:t>that community-based alternatives to incarceration</w:t>
      </w:r>
      <w:r w:rsidR="00414C97">
        <w:t xml:space="preserve">, such as problem-solving courts, </w:t>
      </w:r>
      <w:r w:rsidR="00414C97" w:rsidRPr="00CC13E7">
        <w:rPr>
          <w:bCs/>
        </w:rPr>
        <w:t>can reduce recidivism, decrease costs to taxpayers, increase public safety, and reintegrate offenders back into society.</w:t>
      </w:r>
    </w:p>
    <w:p w14:paraId="7DDF3E21" w14:textId="77777777" w:rsidR="00570E65" w:rsidRPr="00017495" w:rsidRDefault="00570E65" w:rsidP="00570E6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Arial" w:hAnsi="Arial" w:cs="Arial"/>
        </w:rPr>
      </w:pPr>
    </w:p>
    <w:p w14:paraId="1028A015" w14:textId="660A3164" w:rsidR="00C145C2" w:rsidRDefault="00C145C2" w:rsidP="00C145C2">
      <w:pPr>
        <w:ind w:left="0"/>
      </w:pPr>
      <w:r w:rsidRPr="00017495">
        <w:t>ARI is housed at the Illinois Criminal Justice Information Authority (ICJIA),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3015AEDB" w14:textId="606F770F" w:rsidR="003F55BA" w:rsidRDefault="003F55BA" w:rsidP="00C145C2">
      <w:pPr>
        <w:ind w:left="0"/>
      </w:pPr>
    </w:p>
    <w:p w14:paraId="666411D6" w14:textId="781484BC" w:rsidR="003F55BA" w:rsidRPr="008B7212" w:rsidRDefault="003F55BA" w:rsidP="00C3026F">
      <w:pPr>
        <w:ind w:left="0"/>
        <w:contextualSpacing/>
      </w:pPr>
      <w:r w:rsidRPr="008B7212">
        <w:t xml:space="preserve">ARI offers planning grants for jurisdictions to convene stakeholders, review local data, and develop a local plan. To gain commitment and involvement from each of the local stakeholders that influence incarceration decisions, those engaged in planning processes must represent the local criminal justice court system (e.g., judiciary, prosecution, defense, probation) and the community (e.g., treatment providers, social services, business). </w:t>
      </w:r>
      <w:r w:rsidR="00563937">
        <w:t xml:space="preserve">Counties, groups of counties, and judicial circuits may apply for planning grants of up to </w:t>
      </w:r>
      <w:r w:rsidR="00C3026F">
        <w:t>$30,000</w:t>
      </w:r>
      <w:r w:rsidR="00563937">
        <w:t xml:space="preserve"> through this Notice of Funding Opportunity. </w:t>
      </w:r>
      <w:r w:rsidR="00B5612F" w:rsidRPr="00017495">
        <w:rPr>
          <w:color w:val="auto"/>
        </w:rPr>
        <w:t>A</w:t>
      </w:r>
      <w:r w:rsidR="00B5612F" w:rsidRPr="00017495">
        <w:rPr>
          <w:color w:val="auto"/>
          <w:lang w:val="en"/>
        </w:rPr>
        <w:t xml:space="preserve"> maximum of $</w:t>
      </w:r>
      <w:r w:rsidR="00B5612F">
        <w:rPr>
          <w:color w:val="auto"/>
          <w:lang w:val="en"/>
        </w:rPr>
        <w:t>2</w:t>
      </w:r>
      <w:r w:rsidR="00B5612F" w:rsidRPr="00017495">
        <w:rPr>
          <w:color w:val="auto"/>
          <w:lang w:val="en"/>
        </w:rPr>
        <w:t>00,000 will</w:t>
      </w:r>
      <w:r w:rsidR="00B5612F">
        <w:rPr>
          <w:color w:val="auto"/>
          <w:lang w:val="en"/>
        </w:rPr>
        <w:t xml:space="preserve"> be made available for these grants</w:t>
      </w:r>
      <w:r w:rsidR="00B5612F" w:rsidRPr="00017495">
        <w:rPr>
          <w:color w:val="auto"/>
          <w:lang w:val="en"/>
        </w:rPr>
        <w:t xml:space="preserve">. </w:t>
      </w:r>
      <w:r w:rsidR="00563937">
        <w:t xml:space="preserve"> </w:t>
      </w:r>
      <w:r w:rsidRPr="008B7212">
        <w:t xml:space="preserve"> </w:t>
      </w:r>
    </w:p>
    <w:p w14:paraId="2F375C15" w14:textId="14A7AFC6" w:rsidR="003F55BA" w:rsidRPr="003F55BA" w:rsidRDefault="003F55BA" w:rsidP="003F55BA">
      <w:pPr>
        <w:ind w:left="0"/>
      </w:pPr>
      <w:r w:rsidRPr="008B7212">
        <w:rPr>
          <w:highlight w:val="yellow"/>
        </w:rPr>
        <w:t xml:space="preserve"> </w:t>
      </w:r>
    </w:p>
    <w:p w14:paraId="7F5ADD8C" w14:textId="77777777" w:rsidR="000243F5" w:rsidRPr="00017495" w:rsidRDefault="000243F5" w:rsidP="000E2A62">
      <w:pPr>
        <w:ind w:left="0"/>
      </w:pPr>
    </w:p>
    <w:p w14:paraId="5BF23FCA" w14:textId="732F3BCF" w:rsidR="00055B55" w:rsidRPr="00017495" w:rsidRDefault="00055B55" w:rsidP="00725744">
      <w:pPr>
        <w:pStyle w:val="ListParagraph"/>
        <w:numPr>
          <w:ilvl w:val="0"/>
          <w:numId w:val="35"/>
        </w:numPr>
        <w:tabs>
          <w:tab w:val="left" w:pos="360"/>
        </w:tabs>
        <w:ind w:left="0" w:firstLine="0"/>
        <w:rPr>
          <w:b/>
          <w:sz w:val="28"/>
          <w:szCs w:val="28"/>
        </w:rPr>
      </w:pPr>
      <w:r w:rsidRPr="00017495">
        <w:rPr>
          <w:b/>
          <w:sz w:val="28"/>
          <w:szCs w:val="28"/>
        </w:rPr>
        <w:t xml:space="preserve">Authorizing Statutes </w:t>
      </w:r>
    </w:p>
    <w:p w14:paraId="77861301" w14:textId="77777777" w:rsidR="00055B55" w:rsidRPr="00017495" w:rsidRDefault="00055B55" w:rsidP="00620300">
      <w:pPr>
        <w:ind w:left="0"/>
      </w:pPr>
    </w:p>
    <w:p w14:paraId="6D93F968" w14:textId="76165E12" w:rsidR="00620300" w:rsidRPr="00017495" w:rsidRDefault="00620300" w:rsidP="00620300">
      <w:pPr>
        <w:autoSpaceDE w:val="0"/>
        <w:autoSpaceDN w:val="0"/>
        <w:adjustRightInd w:val="0"/>
        <w:ind w:left="0"/>
      </w:pPr>
      <w:r w:rsidRPr="00017495">
        <w:t xml:space="preserve">Section 7(k) of the Illinois Criminal Justice Information Act (20 ILCS 3930/7(k)) establishes </w:t>
      </w:r>
      <w:r w:rsidR="002C15FE" w:rsidRPr="00017495">
        <w:t>ICJIA</w:t>
      </w:r>
      <w:r w:rsidRPr="00017495">
        <w:t xml:space="preserve"> as the agency </w:t>
      </w:r>
      <w:r w:rsidR="000520AB" w:rsidRPr="00017495">
        <w:t>“</w:t>
      </w:r>
      <w:r w:rsidRPr="00017495">
        <w:t>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r w:rsidR="000520AB" w:rsidRPr="00017495">
        <w:t>”</w:t>
      </w:r>
    </w:p>
    <w:p w14:paraId="60D40849" w14:textId="77777777" w:rsidR="00620300" w:rsidRPr="00017495" w:rsidRDefault="00620300" w:rsidP="00620300">
      <w:pPr>
        <w:autoSpaceDE w:val="0"/>
        <w:autoSpaceDN w:val="0"/>
        <w:adjustRightInd w:val="0"/>
        <w:ind w:left="0"/>
      </w:pPr>
    </w:p>
    <w:p w14:paraId="58FE8615" w14:textId="06CA5F76" w:rsidR="00820BE1" w:rsidRDefault="00AF7F1B" w:rsidP="00620300">
      <w:pPr>
        <w:autoSpaceDE w:val="0"/>
        <w:autoSpaceDN w:val="0"/>
        <w:adjustRightInd w:val="0"/>
        <w:ind w:left="0"/>
      </w:pPr>
      <w:r w:rsidRPr="00017495">
        <w:lastRenderedPageBreak/>
        <w:t xml:space="preserve">Section 1560 of the Illinois Administrative Code (20 Ill. Admin. Code, Section 1560.10) establishes </w:t>
      </w:r>
      <w:r w:rsidR="002C15FE" w:rsidRPr="00017495">
        <w:t>ICJIA</w:t>
      </w:r>
      <w:r w:rsidRPr="00017495">
        <w:t xml:space="preserve"> as the agency to “exercise its responsibility </w:t>
      </w:r>
      <w:r w:rsidRPr="00017495">
        <w:rPr>
          <w:i/>
          <w:iCs/>
        </w:rPr>
        <w:t>to apply for, receive, establish priorities for, allocate, disburse and spend grant funds that are made available by private sources</w:t>
      </w:r>
      <w:r w:rsidRPr="00017495">
        <w:t xml:space="preserve"> [20 ILCS 3930/7(k)], </w:t>
      </w:r>
      <w:r w:rsidRPr="00017495">
        <w:rPr>
          <w:i/>
          <w:iCs/>
        </w:rPr>
        <w:t>to receive, expend and account for such funds of the State of Illinois as may be made available to further the purposes of</w:t>
      </w:r>
      <w:r w:rsidRPr="00017495">
        <w:t xml:space="preserve"> </w:t>
      </w:r>
      <w:r w:rsidRPr="00017495">
        <w:rPr>
          <w:i/>
          <w:iCs/>
        </w:rPr>
        <w:t>the</w:t>
      </w:r>
      <w:r w:rsidRPr="00017495">
        <w:t xml:space="preserve"> </w:t>
      </w:r>
      <w:r w:rsidRPr="00017495">
        <w:rPr>
          <w:i/>
          <w:iCs/>
        </w:rPr>
        <w:t>Act</w:t>
      </w:r>
      <w:r w:rsidRPr="00017495">
        <w:t xml:space="preserve"> [20 ILCS 3930/7(1)], </w:t>
      </w:r>
      <w:r w:rsidRPr="00017495">
        <w:rPr>
          <w:i/>
          <w:iCs/>
        </w:rPr>
        <w:t>to enter into contracts and to cooperate with units of general local government or combinations of such units,</w:t>
      </w:r>
      <w:r w:rsidRPr="00017495">
        <w:t xml:space="preserve"> </w:t>
      </w:r>
      <w:r w:rsidRPr="00017495">
        <w:rPr>
          <w:i/>
          <w:iCs/>
        </w:rPr>
        <w:t>State</w:t>
      </w:r>
      <w:r w:rsidRPr="00017495">
        <w:t xml:space="preserve"> </w:t>
      </w:r>
      <w:r w:rsidRPr="00017495">
        <w:rPr>
          <w:i/>
          <w:iCs/>
        </w:rPr>
        <w:t xml:space="preserve">agencies, and criminal justice system agencies of other states for the purpose of carrying out the duties of </w:t>
      </w:r>
      <w:r w:rsidR="002C15FE" w:rsidRPr="00017495">
        <w:rPr>
          <w:i/>
          <w:iCs/>
        </w:rPr>
        <w:t>ICJIA</w:t>
      </w:r>
      <w:r w:rsidRPr="00017495">
        <w:t xml:space="preserve"> </w:t>
      </w:r>
      <w:r w:rsidRPr="00017495">
        <w:rPr>
          <w:i/>
          <w:iCs/>
        </w:rPr>
        <w:t>imposed by</w:t>
      </w:r>
      <w:r w:rsidRPr="00017495">
        <w:t xml:space="preserve"> </w:t>
      </w:r>
      <w:r w:rsidRPr="00017495">
        <w:rPr>
          <w:i/>
          <w:iCs/>
        </w:rPr>
        <w:t>the</w:t>
      </w:r>
      <w:r w:rsidRPr="00017495">
        <w:t xml:space="preserve"> </w:t>
      </w:r>
      <w:r w:rsidRPr="00017495">
        <w:rPr>
          <w:i/>
          <w:iCs/>
        </w:rPr>
        <w:t>Act</w:t>
      </w:r>
      <w:r w:rsidRPr="00017495">
        <w:t xml:space="preserve"> [20 ILCS 3930/7(m)]…”  </w:t>
      </w:r>
    </w:p>
    <w:p w14:paraId="19DB7582" w14:textId="276602E8" w:rsidR="002C3622" w:rsidRDefault="002C3622" w:rsidP="00620300">
      <w:pPr>
        <w:autoSpaceDE w:val="0"/>
        <w:autoSpaceDN w:val="0"/>
        <w:adjustRightInd w:val="0"/>
        <w:ind w:left="0"/>
      </w:pPr>
    </w:p>
    <w:p w14:paraId="0F8A4F35" w14:textId="339DAFF6" w:rsidR="002C3622" w:rsidRPr="00017495" w:rsidRDefault="002C3622" w:rsidP="00620300">
      <w:pPr>
        <w:autoSpaceDE w:val="0"/>
        <w:autoSpaceDN w:val="0"/>
        <w:adjustRightInd w:val="0"/>
        <w:ind w:left="0"/>
      </w:pPr>
      <w:r>
        <w:t xml:space="preserve">The grant making processes administered by ICJIA are subject to the rules and regulations </w:t>
      </w:r>
      <w:r w:rsidR="003A2FCE">
        <w:t>enacted</w:t>
      </w:r>
      <w:r>
        <w:t xml:space="preserve"> </w:t>
      </w:r>
      <w:r w:rsidR="003A2FCE">
        <w:t>pursuant to</w:t>
      </w:r>
      <w:r>
        <w:t xml:space="preserve"> the Grant Accountability and Transparency Act</w:t>
      </w:r>
      <w:r w:rsidR="003A2FCE">
        <w:t xml:space="preserve"> (GATA). 30 ILCS 708 et seq., and its associated Administrative Rules, 44 Ill. Admin. Code 7000 et seq., administered by the Grant Accountability and Transparency Unit (GATU) within the Governor’s Office of Management and Budget.</w:t>
      </w:r>
      <w:r>
        <w:t xml:space="preserve"> </w:t>
      </w:r>
    </w:p>
    <w:p w14:paraId="45B76651" w14:textId="77777777" w:rsidR="00AF7F1B" w:rsidRPr="00017495" w:rsidRDefault="00AF7F1B" w:rsidP="00620300">
      <w:pPr>
        <w:autoSpaceDE w:val="0"/>
        <w:autoSpaceDN w:val="0"/>
        <w:adjustRightInd w:val="0"/>
        <w:ind w:left="0"/>
      </w:pPr>
    </w:p>
    <w:p w14:paraId="414EBBF3" w14:textId="77777777" w:rsidR="00620300" w:rsidRPr="00017495" w:rsidRDefault="00620300" w:rsidP="00620300">
      <w:pPr>
        <w:ind w:left="0"/>
      </w:pPr>
      <w:r w:rsidRPr="00017495">
        <w:t>The agency must comply with all applicable provisions of state and federal laws and regulations pertaining to nondiscrimination, sexual harassment and equal employment opportunity, including, but not limited to: The Illinois Human Rights Act (775 ILCS 5/1-101 et seq.), The Public Works Employment Discrimination Act (775 ILCS 10/1 et seq), The United States Civil Rights Act of 1964 ( as amended) (42 USC 2000a-and 2000H-6), Section 504 of the Rehabilitation Act of 1973 (29 USC 794), The Americans with Disabilities Act of 1990 (42 USC 12101 et seq.), and The Age Discrimination Act (42 USC 6101 et seq.).</w:t>
      </w:r>
    </w:p>
    <w:p w14:paraId="048D348B" w14:textId="714D697D" w:rsidR="00620300" w:rsidRPr="00017495" w:rsidRDefault="00620300" w:rsidP="00055B55">
      <w:pPr>
        <w:ind w:left="0"/>
      </w:pPr>
    </w:p>
    <w:p w14:paraId="3825751D" w14:textId="3C6B439B" w:rsidR="00055B55" w:rsidRPr="00017495" w:rsidRDefault="004E10E5" w:rsidP="00055B55">
      <w:pPr>
        <w:ind w:left="0"/>
      </w:pPr>
      <w:r w:rsidRPr="00017495">
        <w:t>ARI’s enabling statute, t</w:t>
      </w:r>
      <w:r w:rsidR="00055B55" w:rsidRPr="00017495">
        <w:t xml:space="preserve">he Crime Reduction Act </w:t>
      </w:r>
      <w:r w:rsidR="00BE6BBD" w:rsidRPr="00017495">
        <w:t xml:space="preserve">(730 ILCS 190/), </w:t>
      </w:r>
      <w:r w:rsidR="009F1D8C">
        <w:t>allows</w:t>
      </w:r>
      <w:r w:rsidR="009F1D8C" w:rsidRPr="00017495">
        <w:t xml:space="preserve"> </w:t>
      </w:r>
      <w:r w:rsidR="00055B55" w:rsidRPr="00017495">
        <w:t xml:space="preserve">financial incentives </w:t>
      </w:r>
      <w:r w:rsidR="009F1D8C">
        <w:t xml:space="preserve">to be provided </w:t>
      </w:r>
      <w:r w:rsidR="00055B55" w:rsidRPr="00017495">
        <w:t xml:space="preserve">to local jurisdictions for programs that allow diversion of </w:t>
      </w:r>
      <w:r w:rsidR="0057739E">
        <w:t>probation-eligible</w:t>
      </w:r>
      <w:r w:rsidR="00055B55" w:rsidRPr="00017495">
        <w:t xml:space="preserve"> offenders from state prisons by providing community-based services and supervision through the ARI program. Pursuant to the Crime Reduction Act, the General Assembly has obligated funds for the ARI program to provide financial incentives to local jurisdictions through </w:t>
      </w:r>
      <w:r w:rsidR="002C15FE" w:rsidRPr="00017495">
        <w:t>ICJIA</w:t>
      </w:r>
      <w:r w:rsidR="00055B55" w:rsidRPr="00017495">
        <w:t xml:space="preserve"> on behalf of the </w:t>
      </w:r>
      <w:r w:rsidR="004E3C7B" w:rsidRPr="00017495">
        <w:t>ARI</w:t>
      </w:r>
      <w:r w:rsidR="007341F4">
        <w:t xml:space="preserve"> Oversight Board</w:t>
      </w:r>
      <w:r w:rsidR="00055B55" w:rsidRPr="00017495">
        <w:t xml:space="preserve">. Funds will be made available pursuant to </w:t>
      </w:r>
      <w:r w:rsidR="002C15FE" w:rsidRPr="00017495">
        <w:t>ICJIA</w:t>
      </w:r>
      <w:r w:rsidR="00055B55" w:rsidRPr="00017495">
        <w:t xml:space="preserve">’s rules entitled “Operating Procedures for the Administration of Non-Federal Funds” (20 Illinois Administrative Code 1560 et seq.) and pursuant to the </w:t>
      </w:r>
      <w:r w:rsidR="007341F4" w:rsidRPr="00017495">
        <w:t>ARI</w:t>
      </w:r>
      <w:r w:rsidR="007341F4">
        <w:t xml:space="preserve"> Oversight Board</w:t>
      </w:r>
      <w:r w:rsidR="007341F4" w:rsidRPr="00017495">
        <w:t xml:space="preserve"> </w:t>
      </w:r>
      <w:r w:rsidR="00055B55" w:rsidRPr="00017495">
        <w:t xml:space="preserve">designating the Implementing Agency to receive funds </w:t>
      </w:r>
      <w:r w:rsidR="00FA5EDC" w:rsidRPr="00017495">
        <w:t>for</w:t>
      </w:r>
      <w:r w:rsidR="00055B55" w:rsidRPr="00017495">
        <w:t xml:space="preserve"> activities that plan for or implement a local ARI program.</w:t>
      </w:r>
    </w:p>
    <w:p w14:paraId="451B6712" w14:textId="77777777" w:rsidR="009D6F3D" w:rsidRPr="00017495" w:rsidRDefault="009D6F3D" w:rsidP="00055B55">
      <w:pPr>
        <w:ind w:left="0"/>
      </w:pPr>
    </w:p>
    <w:p w14:paraId="474DED90" w14:textId="32F1192B" w:rsidR="009D6F3D" w:rsidRPr="00017495" w:rsidRDefault="009D6F3D" w:rsidP="00055B55">
      <w:pPr>
        <w:ind w:left="0"/>
        <w:rPr>
          <w:color w:val="auto"/>
        </w:rPr>
      </w:pPr>
      <w:r w:rsidRPr="00017495">
        <w:rPr>
          <w:color w:val="auto"/>
          <w:lang w:val="en"/>
        </w:rPr>
        <w:t xml:space="preserve">ARI funds </w:t>
      </w:r>
      <w:r w:rsidR="00C00717">
        <w:rPr>
          <w:color w:val="auto"/>
          <w:lang w:val="en"/>
        </w:rPr>
        <w:t xml:space="preserve">for State </w:t>
      </w:r>
      <w:r w:rsidR="00255356">
        <w:rPr>
          <w:color w:val="auto"/>
          <w:lang w:val="en"/>
        </w:rPr>
        <w:t>F</w:t>
      </w:r>
      <w:r w:rsidR="00C00717">
        <w:rPr>
          <w:color w:val="auto"/>
          <w:lang w:val="en"/>
        </w:rPr>
        <w:t xml:space="preserve">iscal </w:t>
      </w:r>
      <w:r w:rsidR="00255356">
        <w:rPr>
          <w:color w:val="auto"/>
          <w:lang w:val="en"/>
        </w:rPr>
        <w:t>Y</w:t>
      </w:r>
      <w:r w:rsidR="00C00717">
        <w:rPr>
          <w:color w:val="auto"/>
          <w:lang w:val="en"/>
        </w:rPr>
        <w:t xml:space="preserve">ear </w:t>
      </w:r>
      <w:r w:rsidR="00867F97">
        <w:rPr>
          <w:color w:val="auto"/>
          <w:lang w:val="en"/>
        </w:rPr>
        <w:t xml:space="preserve">2019 </w:t>
      </w:r>
      <w:r w:rsidRPr="00017495">
        <w:rPr>
          <w:color w:val="auto"/>
          <w:lang w:val="en"/>
        </w:rPr>
        <w:t xml:space="preserve">became available through </w:t>
      </w:r>
      <w:r w:rsidRPr="00017495">
        <w:rPr>
          <w:color w:val="auto"/>
        </w:rPr>
        <w:t>Public Act 100-</w:t>
      </w:r>
      <w:r w:rsidR="00A30F0A">
        <w:rPr>
          <w:color w:val="auto"/>
        </w:rPr>
        <w:t>0586</w:t>
      </w:r>
      <w:r w:rsidR="00C500EF" w:rsidRPr="00017495">
        <w:rPr>
          <w:color w:val="auto"/>
        </w:rPr>
        <w:t xml:space="preserve"> (Article </w:t>
      </w:r>
      <w:r w:rsidR="00A30F0A">
        <w:rPr>
          <w:color w:val="auto"/>
        </w:rPr>
        <w:t>117</w:t>
      </w:r>
      <w:r w:rsidR="00C500EF" w:rsidRPr="00017495">
        <w:rPr>
          <w:color w:val="auto"/>
        </w:rPr>
        <w:t xml:space="preserve">, Section </w:t>
      </w:r>
      <w:r w:rsidR="0015289E" w:rsidRPr="00017495">
        <w:rPr>
          <w:color w:val="auto"/>
        </w:rPr>
        <w:t>1</w:t>
      </w:r>
      <w:r w:rsidR="005C04FC">
        <w:rPr>
          <w:color w:val="auto"/>
        </w:rPr>
        <w:t xml:space="preserve">0) in which </w:t>
      </w:r>
      <w:r w:rsidR="00CD4ED0">
        <w:rPr>
          <w:color w:val="auto"/>
        </w:rPr>
        <w:t>$</w:t>
      </w:r>
      <w:r w:rsidR="00CD4ED0" w:rsidRPr="00F2334A">
        <w:rPr>
          <w:bCs/>
          <w:color w:val="auto"/>
        </w:rPr>
        <w:t>10,229,100</w:t>
      </w:r>
      <w:r w:rsidR="0015289E" w:rsidRPr="00017495">
        <w:rPr>
          <w:color w:val="auto"/>
        </w:rPr>
        <w:t>, or so much thereof as may be necessary,</w:t>
      </w:r>
      <w:r w:rsidR="00C500EF" w:rsidRPr="00017495">
        <w:rPr>
          <w:color w:val="auto"/>
        </w:rPr>
        <w:t xml:space="preserve"> </w:t>
      </w:r>
      <w:r w:rsidR="00E33C64" w:rsidRPr="00017495">
        <w:rPr>
          <w:color w:val="auto"/>
        </w:rPr>
        <w:t>was</w:t>
      </w:r>
      <w:r w:rsidR="00C500EF" w:rsidRPr="00017495">
        <w:rPr>
          <w:color w:val="auto"/>
        </w:rPr>
        <w:t xml:space="preserve"> appropriated from the General Revenue Fund to ICJIA for administrative costs, awards</w:t>
      </w:r>
      <w:r w:rsidR="00FA5EDC">
        <w:rPr>
          <w:color w:val="auto"/>
        </w:rPr>
        <w:t>,</w:t>
      </w:r>
      <w:r w:rsidR="00C500EF" w:rsidRPr="00017495">
        <w:rPr>
          <w:color w:val="auto"/>
        </w:rPr>
        <w:t xml:space="preserve"> and grants for Adult Redeploy and </w:t>
      </w:r>
      <w:r w:rsidR="0015289E" w:rsidRPr="00017495">
        <w:rPr>
          <w:color w:val="auto"/>
        </w:rPr>
        <w:t>D</w:t>
      </w:r>
      <w:r w:rsidR="00C500EF" w:rsidRPr="00017495">
        <w:rPr>
          <w:color w:val="auto"/>
        </w:rPr>
        <w:t xml:space="preserve">iversion </w:t>
      </w:r>
      <w:r w:rsidR="004E3C7B" w:rsidRPr="00017495">
        <w:rPr>
          <w:color w:val="auto"/>
        </w:rPr>
        <w:t>P</w:t>
      </w:r>
      <w:r w:rsidR="00C500EF" w:rsidRPr="00017495">
        <w:rPr>
          <w:color w:val="auto"/>
        </w:rPr>
        <w:t>rogram</w:t>
      </w:r>
      <w:r w:rsidR="00E33C64" w:rsidRPr="00017495">
        <w:rPr>
          <w:color w:val="auto"/>
        </w:rPr>
        <w:t>s</w:t>
      </w:r>
      <w:r w:rsidR="00C500EF" w:rsidRPr="00017495">
        <w:rPr>
          <w:color w:val="auto"/>
        </w:rPr>
        <w:t>.</w:t>
      </w:r>
    </w:p>
    <w:p w14:paraId="100AB15B" w14:textId="717FC408" w:rsidR="00055B55" w:rsidRPr="00017495" w:rsidRDefault="001B5D4E" w:rsidP="000E2A62">
      <w:pPr>
        <w:ind w:left="0"/>
      </w:pPr>
      <w:r>
        <w:br/>
      </w:r>
      <w:r>
        <w:br/>
      </w:r>
      <w:r>
        <w:br/>
      </w:r>
    </w:p>
    <w:p w14:paraId="05429F0B" w14:textId="613AF2E7" w:rsidR="00570E65" w:rsidRPr="00017495" w:rsidRDefault="00055B55" w:rsidP="00725744">
      <w:pPr>
        <w:pStyle w:val="ListParagraph"/>
        <w:numPr>
          <w:ilvl w:val="0"/>
          <w:numId w:val="35"/>
        </w:numPr>
        <w:tabs>
          <w:tab w:val="left" w:pos="0"/>
          <w:tab w:val="left" w:pos="360"/>
        </w:tabs>
        <w:ind w:left="180" w:hanging="180"/>
        <w:rPr>
          <w:b/>
        </w:rPr>
      </w:pPr>
      <w:r w:rsidRPr="00017495">
        <w:rPr>
          <w:b/>
          <w:sz w:val="28"/>
        </w:rPr>
        <w:lastRenderedPageBreak/>
        <w:t xml:space="preserve">Program-Specific Information </w:t>
      </w:r>
    </w:p>
    <w:p w14:paraId="67DC1833" w14:textId="77777777" w:rsidR="000243F5" w:rsidRPr="00017495" w:rsidRDefault="000243F5" w:rsidP="000E2A62">
      <w:pPr>
        <w:ind w:left="0"/>
      </w:pPr>
    </w:p>
    <w:p w14:paraId="01994701" w14:textId="77777777" w:rsidR="00055B55" w:rsidRPr="00C03701" w:rsidRDefault="00055B55" w:rsidP="000E2A62">
      <w:pPr>
        <w:ind w:left="0"/>
        <w:rPr>
          <w:b/>
          <w:i/>
        </w:rPr>
      </w:pPr>
      <w:r w:rsidRPr="00C03701">
        <w:rPr>
          <w:b/>
          <w:i/>
        </w:rPr>
        <w:t>Background</w:t>
      </w:r>
    </w:p>
    <w:p w14:paraId="6A1FCE8F" w14:textId="77777777" w:rsidR="005B09D7" w:rsidRPr="00017495" w:rsidRDefault="005B09D7" w:rsidP="000E2A62">
      <w:pPr>
        <w:ind w:left="0"/>
        <w:rPr>
          <w:u w:val="single"/>
        </w:rPr>
      </w:pPr>
    </w:p>
    <w:p w14:paraId="2234FB17" w14:textId="26EB7F19" w:rsidR="00E47737" w:rsidRPr="00017495" w:rsidRDefault="00E47737" w:rsidP="00707AE6">
      <w:pPr>
        <w:ind w:left="0"/>
      </w:pPr>
      <w:r w:rsidRPr="00017495">
        <w:t>Adult Redeploy Illinois (ARI) was part of a package of criminal justice reform measures passed in 2009</w:t>
      </w:r>
      <w:r w:rsidR="007341F4">
        <w:t xml:space="preserve"> to improve outcomes in the </w:t>
      </w:r>
      <w:r w:rsidRPr="00017495">
        <w:t>Illinois criminal justice system by requiring the use of validated assessments</w:t>
      </w:r>
      <w:r w:rsidR="008B11CE">
        <w:t>,</w:t>
      </w:r>
      <w:r w:rsidR="008B11CE" w:rsidRPr="00017495">
        <w:t xml:space="preserve"> </w:t>
      </w:r>
      <w:r w:rsidRPr="00017495">
        <w:t>evidence-based practices</w:t>
      </w:r>
      <w:r w:rsidR="008B11CE">
        <w:t>,</w:t>
      </w:r>
      <w:r w:rsidR="008B11CE" w:rsidRPr="00017495">
        <w:t xml:space="preserve"> </w:t>
      </w:r>
      <w:r w:rsidRPr="00017495">
        <w:t xml:space="preserve">and performance measurement and evaluation. </w:t>
      </w:r>
      <w:r w:rsidR="008B11CE">
        <w:t>T</w:t>
      </w:r>
      <w:r w:rsidRPr="00017495">
        <w:t>he Crime Reduction Act</w:t>
      </w:r>
      <w:r w:rsidR="008B11CE">
        <w:t>, ARI’s enabling legislation,</w:t>
      </w:r>
      <w:r w:rsidRPr="00017495">
        <w:t xml:space="preserve"> called for the adoption of a standardized validated assessment system</w:t>
      </w:r>
      <w:r w:rsidR="008B11CE">
        <w:t xml:space="preserve"> as determined by the </w:t>
      </w:r>
      <w:r w:rsidRPr="00017495">
        <w:t>Risk, Assets, and Needs Assessment</w:t>
      </w:r>
      <w:r w:rsidR="008B11CE">
        <w:t xml:space="preserve"> </w:t>
      </w:r>
      <w:r w:rsidR="00FA5EDC">
        <w:t>Task Force</w:t>
      </w:r>
      <w:r w:rsidRPr="00017495">
        <w:t xml:space="preserve">. Companion legislation created the Illinois Sentencing Policy Advisory Council to collect and analyze data on sentencing policies and practices to determine their outcomes and system-wide fiscal impact. </w:t>
      </w:r>
    </w:p>
    <w:p w14:paraId="659177F8" w14:textId="77777777" w:rsidR="00E47737" w:rsidRPr="00017495" w:rsidRDefault="00E47737" w:rsidP="00E47737">
      <w:pPr>
        <w:rPr>
          <w:rFonts w:cstheme="minorBidi"/>
        </w:rPr>
      </w:pPr>
    </w:p>
    <w:p w14:paraId="4EA83ADB" w14:textId="2A2CBB60" w:rsidR="00E47737" w:rsidRPr="00017495" w:rsidRDefault="00E47737" w:rsidP="00725744">
      <w:pPr>
        <w:ind w:left="0"/>
      </w:pPr>
      <w:r w:rsidRPr="00017495">
        <w:t>ARI is modeled after the successful Redeploy Illinois program</w:t>
      </w:r>
      <w:r w:rsidR="006D0145">
        <w:t xml:space="preserve"> of the Department of Juvenile Justice</w:t>
      </w:r>
      <w:r w:rsidRPr="00017495">
        <w:t xml:space="preserve"> operating since 2005. </w:t>
      </w:r>
      <w:r w:rsidR="008B11CE">
        <w:t xml:space="preserve">Moreover, </w:t>
      </w:r>
      <w:r w:rsidRPr="00017495">
        <w:t xml:space="preserve">ARI is based on the “performance incentive funding” best practice, intended to align fiscal and operational responsibility for </w:t>
      </w:r>
      <w:r w:rsidR="0057739E">
        <w:t>probation-eligible</w:t>
      </w:r>
      <w:r w:rsidRPr="00017495">
        <w:t xml:space="preserve"> offenders at the local level to produce better public safety at a lower cost. ARI also draws on concepts of justice reinvestment, such as using data to implement strategies that drive down corrections costs and free up dollars for investment in community-based programs addressing recidivism.</w:t>
      </w:r>
    </w:p>
    <w:p w14:paraId="26E6D3A7" w14:textId="77777777" w:rsidR="00E47737" w:rsidRPr="00017495" w:rsidRDefault="00E47737" w:rsidP="00E47737"/>
    <w:p w14:paraId="00527D52" w14:textId="782DCD76" w:rsidR="00E47737" w:rsidRPr="00017495" w:rsidRDefault="00E47737" w:rsidP="00922267">
      <w:pPr>
        <w:ind w:left="0"/>
      </w:pPr>
      <w:r w:rsidRPr="00017495">
        <w:t>The goals of ARI are to:</w:t>
      </w:r>
      <w:r w:rsidRPr="00017495">
        <w:br/>
      </w:r>
    </w:p>
    <w:p w14:paraId="779E697C" w14:textId="77777777" w:rsidR="00E47737" w:rsidRPr="00017495" w:rsidRDefault="00E47737" w:rsidP="00922267">
      <w:pPr>
        <w:numPr>
          <w:ilvl w:val="0"/>
          <w:numId w:val="38"/>
        </w:numPr>
      </w:pPr>
      <w:r w:rsidRPr="00017495">
        <w:t>Reduce crime and recidivism in a way that is cost efficient for taxpayers.</w:t>
      </w:r>
    </w:p>
    <w:p w14:paraId="1341AAD2" w14:textId="77777777" w:rsidR="00E47737" w:rsidRPr="00017495" w:rsidRDefault="00E47737" w:rsidP="00922267">
      <w:pPr>
        <w:numPr>
          <w:ilvl w:val="0"/>
          <w:numId w:val="38"/>
        </w:numPr>
      </w:pPr>
      <w:r w:rsidRPr="00017495">
        <w:t>Provide financial incentives to counties or judicial circuits to create effective local</w:t>
      </w:r>
      <w:r w:rsidRPr="00017495">
        <w:noBreakHyphen/>
        <w:t>level evidence</w:t>
      </w:r>
      <w:r w:rsidRPr="00017495">
        <w:noBreakHyphen/>
        <w:t>based services.</w:t>
      </w:r>
    </w:p>
    <w:p w14:paraId="5942E406" w14:textId="77777777" w:rsidR="00E47737" w:rsidRPr="00017495" w:rsidRDefault="00E47737" w:rsidP="00922267">
      <w:pPr>
        <w:numPr>
          <w:ilvl w:val="0"/>
          <w:numId w:val="38"/>
        </w:numPr>
      </w:pPr>
      <w:r w:rsidRPr="00017495">
        <w:t>Encourage the successful local supervision of eligible offenders and their reintegration into the locality.</w:t>
      </w:r>
    </w:p>
    <w:p w14:paraId="76329AAF" w14:textId="77777777" w:rsidR="00E47737" w:rsidRPr="00017495" w:rsidRDefault="00E47737" w:rsidP="00922267">
      <w:pPr>
        <w:numPr>
          <w:ilvl w:val="0"/>
          <w:numId w:val="38"/>
        </w:numPr>
      </w:pPr>
      <w:r w:rsidRPr="00017495">
        <w:t>Perform rigorous data collection and analysis to assess the outcomes of the programs.</w:t>
      </w:r>
    </w:p>
    <w:p w14:paraId="2CCF2A35" w14:textId="77777777" w:rsidR="00E70DBE" w:rsidRDefault="00E70DBE" w:rsidP="008B7212">
      <w:pPr>
        <w:spacing w:line="248" w:lineRule="auto"/>
        <w:ind w:left="0"/>
      </w:pPr>
    </w:p>
    <w:p w14:paraId="2600D7E7" w14:textId="2D248EDB" w:rsidR="00E70DBE" w:rsidRPr="00017495" w:rsidRDefault="00E70DBE" w:rsidP="008B7212">
      <w:pPr>
        <w:spacing w:line="248" w:lineRule="auto"/>
        <w:ind w:left="0"/>
      </w:pPr>
      <w:r w:rsidRPr="008B7212">
        <w:t>Since program inception, the ARI network has grown from 10 pilot sites in 10 counties, to 2</w:t>
      </w:r>
      <w:r w:rsidR="00BB0B7C">
        <w:t>2</w:t>
      </w:r>
      <w:r w:rsidRPr="008B7212">
        <w:t xml:space="preserve"> sites covering </w:t>
      </w:r>
      <w:r w:rsidR="00AA389E">
        <w:t>44</w:t>
      </w:r>
      <w:r w:rsidR="00AA389E" w:rsidRPr="008B7212">
        <w:t xml:space="preserve"> </w:t>
      </w:r>
      <w:r w:rsidRPr="008B7212">
        <w:t xml:space="preserve">counties. A map is included as </w:t>
      </w:r>
      <w:r w:rsidRPr="008B7212">
        <w:rPr>
          <w:i/>
        </w:rPr>
        <w:t>Appendix A</w:t>
      </w:r>
      <w:r w:rsidRPr="008B7212">
        <w:t>.</w:t>
      </w:r>
    </w:p>
    <w:p w14:paraId="0E6529FB" w14:textId="77777777" w:rsidR="00E47737" w:rsidRPr="00017495" w:rsidRDefault="00E47737" w:rsidP="00C03701">
      <w:pPr>
        <w:ind w:left="0"/>
      </w:pPr>
    </w:p>
    <w:p w14:paraId="61FCF150" w14:textId="3C37A678" w:rsidR="00AE7DBD" w:rsidRPr="00C03701" w:rsidRDefault="00AE7DBD" w:rsidP="00725744">
      <w:pPr>
        <w:spacing w:line="248" w:lineRule="auto"/>
        <w:ind w:left="0"/>
        <w:rPr>
          <w:b/>
          <w:i/>
        </w:rPr>
      </w:pPr>
      <w:r w:rsidRPr="00C03701">
        <w:rPr>
          <w:b/>
          <w:i/>
        </w:rPr>
        <w:t>Target Population</w:t>
      </w:r>
    </w:p>
    <w:p w14:paraId="62D56B16" w14:textId="77777777" w:rsidR="00EB26D8" w:rsidRPr="00017495" w:rsidRDefault="00EB26D8" w:rsidP="00725744">
      <w:pPr>
        <w:spacing w:line="248" w:lineRule="auto"/>
        <w:ind w:left="0"/>
        <w:rPr>
          <w:i/>
        </w:rPr>
      </w:pPr>
    </w:p>
    <w:p w14:paraId="708C9BC6" w14:textId="085302E5" w:rsidR="00507A34" w:rsidRPr="00017495" w:rsidRDefault="00053F8D" w:rsidP="00507A34">
      <w:pPr>
        <w:ind w:left="0"/>
        <w:rPr>
          <w:bCs/>
        </w:rPr>
      </w:pPr>
      <w:r w:rsidRPr="00017495">
        <w:t xml:space="preserve">ARI funds </w:t>
      </w:r>
      <w:r w:rsidR="008B11CE">
        <w:t xml:space="preserve">are </w:t>
      </w:r>
      <w:r w:rsidR="008A0BA7">
        <w:t>directed toward</w:t>
      </w:r>
      <w:r w:rsidRPr="00017495">
        <w:t xml:space="preserve"> prison-bound individuals </w:t>
      </w:r>
      <w:r w:rsidR="00BE6BBD" w:rsidRPr="00017495">
        <w:t>whose diversion to community-based programs represents actual and immediate costs avoided by the state.</w:t>
      </w:r>
      <w:r w:rsidR="00507A34" w:rsidRPr="00017495">
        <w:t xml:space="preserve"> </w:t>
      </w:r>
      <w:r w:rsidR="008B11CE">
        <w:rPr>
          <w:bCs/>
        </w:rPr>
        <w:t>To</w:t>
      </w:r>
      <w:r w:rsidR="00507A34" w:rsidRPr="00017495">
        <w:rPr>
          <w:bCs/>
        </w:rPr>
        <w:t xml:space="preserve"> ensure that intensive interventions </w:t>
      </w:r>
      <w:r w:rsidR="008B11CE">
        <w:rPr>
          <w:bCs/>
        </w:rPr>
        <w:t>funded by ARI are</w:t>
      </w:r>
      <w:r w:rsidR="00507A34" w:rsidRPr="00017495">
        <w:rPr>
          <w:bCs/>
        </w:rPr>
        <w:t xml:space="preserve"> targeted to higher risk </w:t>
      </w:r>
      <w:r w:rsidR="00BB77FB">
        <w:rPr>
          <w:bCs/>
        </w:rPr>
        <w:t xml:space="preserve">and higher need </w:t>
      </w:r>
      <w:r w:rsidR="00507A34" w:rsidRPr="00017495">
        <w:rPr>
          <w:bCs/>
        </w:rPr>
        <w:t xml:space="preserve">clients who can benefit the most from them and for whom they are most cost-effective, the </w:t>
      </w:r>
      <w:r w:rsidR="00FC0157" w:rsidRPr="00017495">
        <w:rPr>
          <w:bCs/>
        </w:rPr>
        <w:t>ARI</w:t>
      </w:r>
      <w:r w:rsidR="003F18DD">
        <w:rPr>
          <w:bCs/>
        </w:rPr>
        <w:t xml:space="preserve"> Oversight Board</w:t>
      </w:r>
      <w:r w:rsidR="00507A34" w:rsidRPr="00017495">
        <w:rPr>
          <w:bCs/>
        </w:rPr>
        <w:t xml:space="preserve"> established that at least 80</w:t>
      </w:r>
      <w:r w:rsidR="00FA5EDC">
        <w:rPr>
          <w:bCs/>
        </w:rPr>
        <w:t xml:space="preserve"> percent</w:t>
      </w:r>
      <w:r w:rsidR="00507A34" w:rsidRPr="00017495">
        <w:rPr>
          <w:bCs/>
        </w:rPr>
        <w:t xml:space="preserve"> of those served at each ARI site must score moderate to high risk</w:t>
      </w:r>
      <w:r w:rsidR="00FC0157" w:rsidRPr="00017495">
        <w:rPr>
          <w:bCs/>
        </w:rPr>
        <w:t xml:space="preserve"> </w:t>
      </w:r>
      <w:r w:rsidR="00BB77FB">
        <w:rPr>
          <w:bCs/>
        </w:rPr>
        <w:t xml:space="preserve">to reoffend </w:t>
      </w:r>
      <w:r w:rsidR="00FC0157" w:rsidRPr="00017495">
        <w:rPr>
          <w:bCs/>
        </w:rPr>
        <w:t xml:space="preserve">according to </w:t>
      </w:r>
      <w:r w:rsidR="00BC4326">
        <w:rPr>
          <w:bCs/>
        </w:rPr>
        <w:t xml:space="preserve">a risk assessment </w:t>
      </w:r>
      <w:r w:rsidR="00FC0157" w:rsidRPr="00017495">
        <w:rPr>
          <w:bCs/>
        </w:rPr>
        <w:t>instrument</w:t>
      </w:r>
      <w:r w:rsidR="00507A34" w:rsidRPr="00017495">
        <w:rPr>
          <w:bCs/>
        </w:rPr>
        <w:t xml:space="preserve">. </w:t>
      </w:r>
    </w:p>
    <w:p w14:paraId="42EB3CB9" w14:textId="6BF6EDA6" w:rsidR="00BE6BBD" w:rsidRPr="00C03701" w:rsidRDefault="00BE6BBD" w:rsidP="00725744">
      <w:pPr>
        <w:spacing w:line="248" w:lineRule="auto"/>
        <w:ind w:left="0"/>
        <w:rPr>
          <w:b/>
          <w:i/>
        </w:rPr>
      </w:pPr>
      <w:r w:rsidRPr="00C03701">
        <w:rPr>
          <w:b/>
          <w:i/>
        </w:rPr>
        <w:lastRenderedPageBreak/>
        <w:t>Key Components</w:t>
      </w:r>
    </w:p>
    <w:p w14:paraId="307A1D09" w14:textId="77777777" w:rsidR="00EB26D8" w:rsidRPr="00017495" w:rsidRDefault="00EB26D8" w:rsidP="00725744">
      <w:pPr>
        <w:spacing w:line="248" w:lineRule="auto"/>
        <w:ind w:left="0"/>
        <w:rPr>
          <w:i/>
        </w:rPr>
      </w:pPr>
    </w:p>
    <w:p w14:paraId="7AC1E619" w14:textId="0BFA0213" w:rsidR="00FF0D0E" w:rsidRPr="00017495" w:rsidRDefault="00507A34" w:rsidP="00FF0D0E">
      <w:pPr>
        <w:ind w:left="0"/>
        <w:rPr>
          <w:bCs/>
        </w:rPr>
      </w:pPr>
      <w:r w:rsidRPr="00017495">
        <w:t>Each ARI site is unique, reflecting the program’s emphasis on local control and design. Some sites use ARI funds to create or expand problem-solving (</w:t>
      </w:r>
      <w:r w:rsidR="00C00717">
        <w:t xml:space="preserve">e.g., </w:t>
      </w:r>
      <w:r w:rsidRPr="00017495">
        <w:t xml:space="preserve">drug, mental health, veterans) courts; others operate intensive supervision programs combined with services that address criminogenic needs. </w:t>
      </w:r>
      <w:r w:rsidR="00FF0D0E" w:rsidRPr="00017495">
        <w:rPr>
          <w:bCs/>
        </w:rPr>
        <w:t xml:space="preserve">Using the principles of the Risk-Need-Responsivity model, ARI </w:t>
      </w:r>
      <w:r w:rsidR="008A0BA7">
        <w:rPr>
          <w:bCs/>
        </w:rPr>
        <w:t>invests</w:t>
      </w:r>
      <w:r w:rsidR="00FF0D0E" w:rsidRPr="00017495">
        <w:rPr>
          <w:bCs/>
        </w:rPr>
        <w:t xml:space="preserve"> in practices and programs that ensure ARI clients are </w:t>
      </w:r>
      <w:r w:rsidR="008A0BA7">
        <w:rPr>
          <w:bCs/>
        </w:rPr>
        <w:t>assessed as to their</w:t>
      </w:r>
      <w:r w:rsidR="00FF0D0E" w:rsidRPr="00017495">
        <w:rPr>
          <w:bCs/>
        </w:rPr>
        <w:t xml:space="preserve"> risk to re-offend, needs, and assets; matched with the appropriate type, level, and intensity of treatment services; and provided with supportive services that leverage strengths and reduce barriers to compliance and successful completion. </w:t>
      </w:r>
    </w:p>
    <w:p w14:paraId="2CA8D4C2" w14:textId="77777777" w:rsidR="00B97C90" w:rsidRPr="00017495" w:rsidRDefault="00B97C90" w:rsidP="00F2334A">
      <w:pPr>
        <w:ind w:left="0"/>
      </w:pPr>
    </w:p>
    <w:p w14:paraId="7B07E918" w14:textId="249818AB" w:rsidR="00507A34" w:rsidRPr="00017495" w:rsidRDefault="00507A34" w:rsidP="00F2334A">
      <w:pPr>
        <w:ind w:left="0"/>
      </w:pPr>
      <w:r w:rsidRPr="00017495">
        <w:t xml:space="preserve">All sites </w:t>
      </w:r>
      <w:r w:rsidR="00FC0157" w:rsidRPr="00017495">
        <w:t>must</w:t>
      </w:r>
      <w:r w:rsidRPr="00017495">
        <w:t xml:space="preserve"> incorporate the ARI key components</w:t>
      </w:r>
      <w:r w:rsidR="005B09D7" w:rsidRPr="00017495">
        <w:t>, including</w:t>
      </w:r>
      <w:r w:rsidRPr="00017495">
        <w:t>:</w:t>
      </w:r>
    </w:p>
    <w:p w14:paraId="05AE2FB0" w14:textId="77777777" w:rsidR="00507A34" w:rsidRPr="00017495" w:rsidRDefault="00507A34" w:rsidP="00F2334A">
      <w:pPr>
        <w:ind w:left="0"/>
      </w:pPr>
    </w:p>
    <w:p w14:paraId="4F8DA815" w14:textId="11072298" w:rsidR="00507A34" w:rsidRPr="00017495" w:rsidRDefault="00507A34" w:rsidP="00707AE6">
      <w:pPr>
        <w:numPr>
          <w:ilvl w:val="0"/>
          <w:numId w:val="38"/>
        </w:numPr>
        <w:rPr>
          <w:rFonts w:eastAsia="Calibri"/>
        </w:rPr>
      </w:pPr>
      <w:r w:rsidRPr="00017495">
        <w:rPr>
          <w:rFonts w:eastAsia="Calibri"/>
        </w:rPr>
        <w:t>Validated assessment of risks, needs</w:t>
      </w:r>
      <w:r w:rsidR="00C00717">
        <w:rPr>
          <w:rFonts w:eastAsia="Calibri"/>
        </w:rPr>
        <w:t>,</w:t>
      </w:r>
      <w:r w:rsidRPr="00017495">
        <w:rPr>
          <w:rFonts w:eastAsia="Calibri"/>
        </w:rPr>
        <w:t xml:space="preserve"> and assets</w:t>
      </w:r>
      <w:r w:rsidR="005B09D7" w:rsidRPr="00017495">
        <w:rPr>
          <w:rFonts w:eastAsia="Calibri"/>
        </w:rPr>
        <w:t>.</w:t>
      </w:r>
    </w:p>
    <w:p w14:paraId="08762059" w14:textId="18AC79EB" w:rsidR="00507A34" w:rsidRPr="00017495" w:rsidRDefault="00507A34" w:rsidP="00507A34">
      <w:pPr>
        <w:numPr>
          <w:ilvl w:val="0"/>
          <w:numId w:val="38"/>
        </w:numPr>
        <w:rPr>
          <w:rFonts w:eastAsia="Calibri"/>
        </w:rPr>
      </w:pPr>
      <w:r w:rsidRPr="00017495">
        <w:rPr>
          <w:rFonts w:eastAsia="Calibri"/>
        </w:rPr>
        <w:t>Evidence-based practices</w:t>
      </w:r>
      <w:r w:rsidR="005B09D7" w:rsidRPr="00017495">
        <w:rPr>
          <w:rFonts w:eastAsia="Calibri"/>
        </w:rPr>
        <w:t>.</w:t>
      </w:r>
    </w:p>
    <w:p w14:paraId="41EFA317" w14:textId="10301DE2" w:rsidR="00C346D9" w:rsidRPr="00017495" w:rsidRDefault="00507A34" w:rsidP="00507A34">
      <w:pPr>
        <w:numPr>
          <w:ilvl w:val="0"/>
          <w:numId w:val="38"/>
        </w:numPr>
        <w:rPr>
          <w:rFonts w:eastAsia="Calibri"/>
        </w:rPr>
      </w:pPr>
      <w:r w:rsidRPr="00017495">
        <w:rPr>
          <w:rFonts w:eastAsia="Calibri"/>
        </w:rPr>
        <w:t>Performance measurement and evaluation</w:t>
      </w:r>
      <w:r w:rsidR="005B09D7" w:rsidRPr="00017495">
        <w:rPr>
          <w:rFonts w:eastAsia="Calibri"/>
        </w:rPr>
        <w:t>.</w:t>
      </w:r>
    </w:p>
    <w:p w14:paraId="0F55E7C0" w14:textId="20F71DE0" w:rsidR="0071470B" w:rsidRDefault="0071470B" w:rsidP="00C03701">
      <w:pPr>
        <w:rPr>
          <w:bCs/>
          <w:i/>
        </w:rPr>
      </w:pPr>
    </w:p>
    <w:p w14:paraId="609D17FD" w14:textId="61F633CB" w:rsidR="00507A34" w:rsidRPr="00C03701" w:rsidRDefault="00336120" w:rsidP="00C03701">
      <w:pPr>
        <w:ind w:left="0"/>
        <w:rPr>
          <w:b/>
          <w:bCs/>
          <w:i/>
        </w:rPr>
      </w:pPr>
      <w:r w:rsidRPr="00C03701">
        <w:rPr>
          <w:b/>
          <w:bCs/>
          <w:i/>
        </w:rPr>
        <w:t>Cost-effectiveness</w:t>
      </w:r>
    </w:p>
    <w:p w14:paraId="57B8A747" w14:textId="77777777" w:rsidR="00EB26D8" w:rsidRPr="00017495" w:rsidRDefault="00EB26D8" w:rsidP="00C03701">
      <w:pPr>
        <w:ind w:left="0"/>
        <w:rPr>
          <w:bCs/>
          <w:i/>
        </w:rPr>
      </w:pPr>
    </w:p>
    <w:p w14:paraId="17863BCC" w14:textId="3A485FCF" w:rsidR="00482548" w:rsidRPr="00017495" w:rsidRDefault="00B97C90" w:rsidP="00C03701">
      <w:pPr>
        <w:ind w:left="0"/>
        <w:rPr>
          <w:bCs/>
        </w:rPr>
      </w:pPr>
      <w:r w:rsidRPr="00017495">
        <w:rPr>
          <w:bCs/>
        </w:rPr>
        <w:t xml:space="preserve">To demonstrate cost-effectiveness and support the sustainability of the program, </w:t>
      </w:r>
      <w:r w:rsidR="00482548" w:rsidRPr="00017495">
        <w:rPr>
          <w:bCs/>
        </w:rPr>
        <w:t xml:space="preserve">ARI-funded interventions </w:t>
      </w:r>
      <w:r w:rsidRPr="00017495">
        <w:rPr>
          <w:bCs/>
        </w:rPr>
        <w:t>must</w:t>
      </w:r>
      <w:r w:rsidR="00482548" w:rsidRPr="00017495">
        <w:rPr>
          <w:bCs/>
        </w:rPr>
        <w:t xml:space="preserve"> represent substantial savings from the cost of incarceration </w:t>
      </w:r>
      <w:r w:rsidRPr="00017495">
        <w:rPr>
          <w:bCs/>
        </w:rPr>
        <w:t xml:space="preserve">in state prisons. </w:t>
      </w:r>
    </w:p>
    <w:p w14:paraId="6B37DCE6" w14:textId="77777777" w:rsidR="00482548" w:rsidRPr="00017495" w:rsidRDefault="00482548" w:rsidP="00C03701">
      <w:pPr>
        <w:ind w:left="0"/>
        <w:rPr>
          <w:bCs/>
        </w:rPr>
      </w:pPr>
    </w:p>
    <w:p w14:paraId="59CE0248" w14:textId="09FD68EE" w:rsidR="00EB26D8" w:rsidRPr="00C03701" w:rsidRDefault="00EB26D8" w:rsidP="00C03701">
      <w:pPr>
        <w:pStyle w:val="ListParagraph"/>
        <w:numPr>
          <w:ilvl w:val="0"/>
          <w:numId w:val="35"/>
        </w:numPr>
        <w:tabs>
          <w:tab w:val="left" w:pos="0"/>
          <w:tab w:val="left" w:pos="360"/>
        </w:tabs>
        <w:ind w:hanging="720"/>
        <w:rPr>
          <w:b/>
          <w:sz w:val="28"/>
          <w:szCs w:val="28"/>
        </w:rPr>
      </w:pPr>
      <w:r w:rsidRPr="00C03701">
        <w:rPr>
          <w:b/>
          <w:sz w:val="28"/>
          <w:szCs w:val="28"/>
        </w:rPr>
        <w:t>Application Design</w:t>
      </w:r>
    </w:p>
    <w:p w14:paraId="6522262F" w14:textId="77777777" w:rsidR="005B09D7" w:rsidRPr="00017495" w:rsidRDefault="005B09D7" w:rsidP="00C03701">
      <w:pPr>
        <w:pStyle w:val="ListParagraph"/>
        <w:ind w:left="-360"/>
        <w:rPr>
          <w:u w:val="single"/>
        </w:rPr>
      </w:pPr>
    </w:p>
    <w:p w14:paraId="2F52E46C" w14:textId="70DE2969" w:rsidR="00336120" w:rsidRPr="00017495" w:rsidRDefault="00507A34" w:rsidP="00C03701">
      <w:pPr>
        <w:ind w:left="0" w:right="-90"/>
        <w:rPr>
          <w:rFonts w:eastAsia="Courier New"/>
        </w:rPr>
      </w:pPr>
      <w:r w:rsidRPr="00017495">
        <w:t>Per the Crime Reduction Act, “</w:t>
      </w:r>
      <w:r w:rsidRPr="00017495">
        <w:rPr>
          <w:rFonts w:eastAsia="Courier New"/>
        </w:rPr>
        <w:t xml:space="preserve">Each county or circuit participating in the Adult Redeploy Illinois program shall create a local plan describing how it will protect public safety and reduce the county or circuit’s utilization of incarceration in State facilities or local county jails by the creation or expansion of individualized services or </w:t>
      </w:r>
      <w:r w:rsidR="005A55C0" w:rsidRPr="00017495">
        <w:rPr>
          <w:rFonts w:eastAsia="Courier New"/>
        </w:rPr>
        <w:t>programs”</w:t>
      </w:r>
      <w:r w:rsidR="00475052">
        <w:rPr>
          <w:rFonts w:eastAsia="Courier New"/>
        </w:rPr>
        <w:t>.</w:t>
      </w:r>
      <w:r w:rsidR="005A55C0">
        <w:rPr>
          <w:rFonts w:eastAsia="Courier New"/>
        </w:rPr>
        <w:t xml:space="preserve"> </w:t>
      </w:r>
      <w:r w:rsidR="005A55C0" w:rsidRPr="00017495">
        <w:rPr>
          <w:rFonts w:eastAsia="Calibri"/>
        </w:rPr>
        <w:t>(</w:t>
      </w:r>
      <w:r w:rsidR="005A55C0" w:rsidRPr="005A55C0">
        <w:rPr>
          <w:rFonts w:eastAsia="Calibri"/>
        </w:rPr>
        <w:t>730 ILCS 190/20</w:t>
      </w:r>
      <w:r w:rsidR="005A55C0">
        <w:rPr>
          <w:rFonts w:eastAsia="Calibri"/>
        </w:rPr>
        <w:t xml:space="preserve"> (c)</w:t>
      </w:r>
      <w:r w:rsidR="005A55C0" w:rsidRPr="005A55C0">
        <w:rPr>
          <w:rFonts w:eastAsia="Calibri"/>
        </w:rPr>
        <w:t>)</w:t>
      </w:r>
      <w:r w:rsidRPr="00017495">
        <w:rPr>
          <w:rFonts w:eastAsia="Courier New"/>
        </w:rPr>
        <w:t xml:space="preserve">    </w:t>
      </w:r>
    </w:p>
    <w:p w14:paraId="37CE70EF" w14:textId="77777777" w:rsidR="00336120" w:rsidRPr="00017495" w:rsidRDefault="00336120" w:rsidP="00C03701">
      <w:pPr>
        <w:ind w:left="0" w:right="-90"/>
        <w:rPr>
          <w:rFonts w:eastAsia="Courier New"/>
        </w:rPr>
      </w:pPr>
    </w:p>
    <w:p w14:paraId="66FCFCF0" w14:textId="6A9C13BC" w:rsidR="00507A34" w:rsidRPr="00017495" w:rsidRDefault="00507A34" w:rsidP="00C03701">
      <w:pPr>
        <w:ind w:left="0" w:right="-90"/>
        <w:rPr>
          <w:rFonts w:ascii="Arial" w:eastAsia="Arial" w:hAnsi="Arial" w:cs="Arial"/>
          <w:b/>
        </w:rPr>
      </w:pPr>
      <w:r w:rsidRPr="00017495">
        <w:t xml:space="preserve">ARI grants fund units </w:t>
      </w:r>
      <w:r w:rsidR="00AA389E">
        <w:t>of county government</w:t>
      </w:r>
      <w:r w:rsidR="00AB213D">
        <w:t xml:space="preserve"> or judicial circuits</w:t>
      </w:r>
      <w:r w:rsidRPr="00017495">
        <w:t xml:space="preserve">, which can apply </w:t>
      </w:r>
      <w:r w:rsidR="00C00717">
        <w:t>individually</w:t>
      </w:r>
      <w:r w:rsidRPr="00017495">
        <w:t xml:space="preserve"> or as groups of counties or circuits. To request an ARI implementation grant, a jurisdiction must first complete a local plan using the standard plan template. Local plans must provide a detailed account of how jurisdictions intend to reduce </w:t>
      </w:r>
      <w:r w:rsidR="0057739E">
        <w:t>probation-eligible</w:t>
      </w:r>
      <w:r w:rsidRPr="00017495">
        <w:t xml:space="preserve"> admissions to prison. The plan must include a description of the program model, roles of the various stakeholders, efforts to support the successful reintegration of offenders through a community involvement component (e.g., community service, restorative justice board), and a commitment to reduce target population prison admissions 25</w:t>
      </w:r>
      <w:r w:rsidR="005D408F">
        <w:t xml:space="preserve"> percent</w:t>
      </w:r>
      <w:r w:rsidR="005D408F" w:rsidRPr="00017495">
        <w:t xml:space="preserve"> </w:t>
      </w:r>
      <w:r w:rsidRPr="00017495">
        <w:t>from the prior three year’s average.</w:t>
      </w:r>
      <w:r w:rsidRPr="00017495">
        <w:rPr>
          <w:rFonts w:ascii="Arial" w:eastAsia="Arial" w:hAnsi="Arial" w:cs="Arial"/>
          <w:b/>
        </w:rPr>
        <w:t xml:space="preserve"> </w:t>
      </w:r>
    </w:p>
    <w:p w14:paraId="1280790E" w14:textId="77777777" w:rsidR="00507A34" w:rsidRPr="00017495" w:rsidRDefault="00507A34" w:rsidP="00C03701">
      <w:pPr>
        <w:ind w:left="0" w:right="-90"/>
        <w:rPr>
          <w:rFonts w:ascii="Arial" w:eastAsia="Arial" w:hAnsi="Arial" w:cs="Arial"/>
          <w:b/>
        </w:rPr>
      </w:pPr>
    </w:p>
    <w:p w14:paraId="1E4A7E7A" w14:textId="77777777" w:rsidR="00554584" w:rsidRPr="008B7212" w:rsidRDefault="00554584" w:rsidP="00554584">
      <w:pPr>
        <w:ind w:left="0" w:right="-90"/>
      </w:pPr>
      <w:r w:rsidRPr="008B7212">
        <w:t xml:space="preserve">ARI offers planning grants for jurisdictions to convene stakeholders, review local data, and develop a local plan. To gain commitment and involvement from each of the local stakeholders that influence incarceration decisions, those engaged in planning processes must represent the </w:t>
      </w:r>
      <w:r w:rsidRPr="008B7212">
        <w:lastRenderedPageBreak/>
        <w:t xml:space="preserve">local criminal justice court system (e.g., judiciary, prosecution, defense, probation) and the community (e.g., treatment providers, social services, business).  </w:t>
      </w:r>
    </w:p>
    <w:p w14:paraId="2AE2DC66" w14:textId="77777777" w:rsidR="00554584" w:rsidRPr="008B7212" w:rsidRDefault="00554584" w:rsidP="00554584">
      <w:pPr>
        <w:spacing w:line="259" w:lineRule="auto"/>
        <w:ind w:left="1008"/>
        <w:rPr>
          <w:highlight w:val="yellow"/>
        </w:rPr>
      </w:pPr>
      <w:r w:rsidRPr="008B7212">
        <w:rPr>
          <w:highlight w:val="yellow"/>
        </w:rPr>
        <w:t xml:space="preserve"> </w:t>
      </w:r>
    </w:p>
    <w:p w14:paraId="5C2DF2DE" w14:textId="76840A8F" w:rsidR="00554584" w:rsidRPr="008B7212" w:rsidRDefault="00554584" w:rsidP="00554584">
      <w:pPr>
        <w:ind w:left="0" w:right="-90"/>
      </w:pPr>
      <w:r w:rsidRPr="008B7212">
        <w:t xml:space="preserve">In the preparation of their local plan, jurisdictions review localized research and data analysis to identify the target population and associated intervention. </w:t>
      </w:r>
      <w:r w:rsidR="00593A30">
        <w:t>To aid in this process, data</w:t>
      </w:r>
      <w:r w:rsidRPr="008B7212">
        <w:t xml:space="preserve"> are available at the ARI website (</w:t>
      </w:r>
      <w:hyperlink r:id="rId9">
        <w:r w:rsidRPr="008B7212">
          <w:rPr>
            <w:color w:val="0000FF"/>
            <w:u w:val="single" w:color="0000FF"/>
          </w:rPr>
          <w:t>www.icjia.org/redeploy</w:t>
        </w:r>
      </w:hyperlink>
      <w:hyperlink r:id="rId10">
        <w:r w:rsidRPr="008B7212">
          <w:t>)</w:t>
        </w:r>
      </w:hyperlink>
      <w:r w:rsidRPr="008B7212">
        <w:t xml:space="preserve"> </w:t>
      </w:r>
      <w:r w:rsidR="00593A30">
        <w:t>which</w:t>
      </w:r>
      <w:r w:rsidRPr="008B7212">
        <w:t xml:space="preserve"> include demographics, offense classes, and offense types related to ARI-eligible offenders committed to IDOC by jurisdiction. </w:t>
      </w:r>
    </w:p>
    <w:p w14:paraId="69CB293B" w14:textId="77777777" w:rsidR="00554584" w:rsidRPr="008B7212" w:rsidRDefault="00554584" w:rsidP="00554584">
      <w:pPr>
        <w:spacing w:line="259" w:lineRule="auto"/>
        <w:ind w:left="1008"/>
      </w:pPr>
      <w:r w:rsidRPr="008B7212">
        <w:t xml:space="preserve"> </w:t>
      </w:r>
    </w:p>
    <w:p w14:paraId="31F99C91" w14:textId="1B39A7A5" w:rsidR="00554584" w:rsidRPr="008B7212" w:rsidRDefault="00554584" w:rsidP="00554584">
      <w:pPr>
        <w:ind w:left="0"/>
      </w:pPr>
      <w:r w:rsidRPr="008B7212">
        <w:t>Sites must serve prison-bound individuals, employ evidence-based practices, and demonstrate significant cost savings compared to incarceration. Local plans are submitted to and evaluated by the ARI</w:t>
      </w:r>
      <w:r w:rsidR="00BB77FB" w:rsidRPr="008B7212">
        <w:t xml:space="preserve"> Oversight Board</w:t>
      </w:r>
      <w:r w:rsidRPr="008B7212">
        <w:t xml:space="preserve"> for alignment with ARI principles and cost-effectiveness.  </w:t>
      </w:r>
    </w:p>
    <w:p w14:paraId="4FF8423D" w14:textId="77777777" w:rsidR="00554584" w:rsidRPr="008B7212" w:rsidRDefault="00554584" w:rsidP="00554584">
      <w:pPr>
        <w:spacing w:line="259" w:lineRule="auto"/>
        <w:ind w:left="1008"/>
      </w:pPr>
      <w:r w:rsidRPr="008B7212">
        <w:t xml:space="preserve"> </w:t>
      </w:r>
    </w:p>
    <w:p w14:paraId="0211F6A8" w14:textId="77777777" w:rsidR="00554584" w:rsidRPr="008B7212" w:rsidRDefault="00554584" w:rsidP="00554584">
      <w:pPr>
        <w:pStyle w:val="CommentText"/>
        <w:ind w:left="0"/>
        <w:rPr>
          <w:bCs/>
          <w:sz w:val="24"/>
        </w:rPr>
      </w:pPr>
      <w:r w:rsidRPr="008B7212">
        <w:rPr>
          <w:bCs/>
          <w:sz w:val="24"/>
        </w:rPr>
        <w:t xml:space="preserve">Local plans must include full descriptions as to the incorporation of the following: </w:t>
      </w:r>
    </w:p>
    <w:p w14:paraId="06302C01" w14:textId="77777777" w:rsidR="00554584" w:rsidRPr="008B7212" w:rsidRDefault="00554584" w:rsidP="00554584">
      <w:pPr>
        <w:pStyle w:val="CommentText"/>
        <w:ind w:left="0"/>
        <w:rPr>
          <w:bCs/>
          <w:sz w:val="24"/>
        </w:rPr>
      </w:pPr>
    </w:p>
    <w:p w14:paraId="0114D2D9" w14:textId="77777777" w:rsidR="00554584" w:rsidRPr="008B7212" w:rsidRDefault="00554584" w:rsidP="00554584">
      <w:pPr>
        <w:pStyle w:val="ListParagraph"/>
        <w:numPr>
          <w:ilvl w:val="0"/>
          <w:numId w:val="10"/>
        </w:numPr>
      </w:pPr>
      <w:r w:rsidRPr="008B7212">
        <w:rPr>
          <w:i/>
        </w:rPr>
        <w:t xml:space="preserve">Evidence-based practices: </w:t>
      </w:r>
      <w:r w:rsidRPr="008B7212">
        <w:t xml:space="preserve">The applicant should identify the evidence-based practice being proposed, identify and discuss the evidence that shows the practice is effective, discuss the populations for which the practice has been shown to be effective, and show that it is appropriate for the proposed target population.  </w:t>
      </w:r>
    </w:p>
    <w:p w14:paraId="16E986F2" w14:textId="77777777" w:rsidR="00554584" w:rsidRPr="008B7212" w:rsidRDefault="00554584" w:rsidP="00554584">
      <w:pPr>
        <w:ind w:left="0"/>
      </w:pPr>
    </w:p>
    <w:p w14:paraId="17EABE5F" w14:textId="77777777" w:rsidR="00554584" w:rsidRPr="008B7212" w:rsidRDefault="00554584" w:rsidP="00554584">
      <w:pPr>
        <w:pStyle w:val="ListParagraph"/>
        <w:numPr>
          <w:ilvl w:val="0"/>
          <w:numId w:val="45"/>
        </w:numPr>
      </w:pPr>
      <w:r w:rsidRPr="008B7212">
        <w:rPr>
          <w:i/>
        </w:rPr>
        <w:t xml:space="preserve">Community involvement: </w:t>
      </w:r>
      <w:r w:rsidRPr="008B7212">
        <w:t>To support the goal of successful reintegration of participant into the community, applicants must include the development of a community involvement piece in their local plans (e.g., Community Restorative Boards). For an overview of community involvement strategies, see “</w:t>
      </w:r>
      <w:hyperlink r:id="rId11" w:history="1">
        <w:r w:rsidRPr="008B7212">
          <w:rPr>
            <w:rStyle w:val="Hyperlink"/>
            <w:rFonts w:eastAsiaTheme="minorHAnsi"/>
          </w:rPr>
          <w:t>Bridges to Justice: A Community Engagement Toolkit for Adult Diversion Programs.</w:t>
        </w:r>
      </w:hyperlink>
      <w:r w:rsidRPr="008B7212">
        <w:rPr>
          <w:rFonts w:eastAsiaTheme="minorHAnsi"/>
        </w:rPr>
        <w:t>”</w:t>
      </w:r>
    </w:p>
    <w:p w14:paraId="23961361" w14:textId="77777777" w:rsidR="00554584" w:rsidRPr="008B7212" w:rsidRDefault="00554584" w:rsidP="0055458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pPr>
    </w:p>
    <w:p w14:paraId="4F7241DA" w14:textId="77777777" w:rsidR="00554584" w:rsidRPr="008B7212" w:rsidRDefault="00554584" w:rsidP="00554584">
      <w:pPr>
        <w:pStyle w:val="ListParagraph"/>
        <w:numPr>
          <w:ilvl w:val="0"/>
          <w:numId w:val="10"/>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8B7212">
        <w:rPr>
          <w:i/>
        </w:rPr>
        <w:t xml:space="preserve">Affordable Care Act: </w:t>
      </w:r>
      <w:r w:rsidRPr="008B7212">
        <w:t xml:space="preserve">The Affordable Care Act (ACA) and expanded Medicaid allow for unprecedented access to critical substance abuse and behavioral health services for vulnerable populations, including justice-involved people. If awarded, selected sites will be required to utilize the ACA as much as possible where applicable before utilizing ARI funds for substance abuse treatment and behavioral health services. </w:t>
      </w:r>
    </w:p>
    <w:p w14:paraId="6D55391C" w14:textId="77777777" w:rsidR="00554584" w:rsidRDefault="00554584" w:rsidP="00C03701">
      <w:pPr>
        <w:ind w:left="0"/>
      </w:pPr>
    </w:p>
    <w:p w14:paraId="77F84B0D" w14:textId="00ADF096" w:rsidR="00E2182E" w:rsidRPr="00017495" w:rsidRDefault="00E2182E" w:rsidP="00C03701">
      <w:pPr>
        <w:ind w:left="0"/>
      </w:pPr>
      <w:r w:rsidRPr="00017495">
        <w:t xml:space="preserve">Awards resulting from this opportunity will have a projected period of performance of </w:t>
      </w:r>
      <w:r w:rsidR="006844F9">
        <w:t xml:space="preserve">January </w:t>
      </w:r>
      <w:r w:rsidRPr="00017495">
        <w:t>1, 201</w:t>
      </w:r>
      <w:r w:rsidR="006844F9">
        <w:t>9</w:t>
      </w:r>
      <w:r w:rsidR="005B09D7" w:rsidRPr="00017495">
        <w:t>,</w:t>
      </w:r>
      <w:r w:rsidRPr="00017495">
        <w:t xml:space="preserve"> t</w:t>
      </w:r>
      <w:r w:rsidR="005B09D7" w:rsidRPr="00017495">
        <w:t>o</w:t>
      </w:r>
      <w:r w:rsidRPr="00017495">
        <w:t xml:space="preserve"> June 30, 20</w:t>
      </w:r>
      <w:r w:rsidR="007D489A">
        <w:t>19</w:t>
      </w:r>
      <w:r w:rsidRPr="00017495">
        <w:t xml:space="preserve">. </w:t>
      </w:r>
      <w:r w:rsidR="00545071">
        <w:t xml:space="preserve">Contingent </w:t>
      </w:r>
      <w:r w:rsidR="00A76EFE">
        <w:t xml:space="preserve">on </w:t>
      </w:r>
      <w:r w:rsidR="00545071">
        <w:t xml:space="preserve">satisfactory performance and future appropriations, successful applicants may receive funding for </w:t>
      </w:r>
      <w:r w:rsidR="005C69C9">
        <w:t xml:space="preserve">implementation of the </w:t>
      </w:r>
      <w:r w:rsidR="00554584">
        <w:t xml:space="preserve">approved local </w:t>
      </w:r>
      <w:r w:rsidR="005C69C9">
        <w:t xml:space="preserve">plan through this solicitation. </w:t>
      </w:r>
    </w:p>
    <w:p w14:paraId="64D98429" w14:textId="77777777" w:rsidR="00C2415F" w:rsidRPr="00017495" w:rsidRDefault="00C2415F" w:rsidP="00C03701">
      <w:pPr>
        <w:ind w:left="0"/>
        <w:rPr>
          <w:rFonts w:eastAsiaTheme="minorHAnsi"/>
        </w:rPr>
      </w:pPr>
    </w:p>
    <w:p w14:paraId="466AF170" w14:textId="26CDFF39" w:rsidR="002C15FE" w:rsidRPr="00C03701" w:rsidRDefault="00EB26D8" w:rsidP="00C03701">
      <w:pPr>
        <w:ind w:left="0"/>
        <w:rPr>
          <w:b/>
          <w:i/>
        </w:rPr>
      </w:pPr>
      <w:r w:rsidRPr="00C03701">
        <w:rPr>
          <w:b/>
          <w:i/>
        </w:rPr>
        <w:t>Application</w:t>
      </w:r>
      <w:r w:rsidR="002C15FE" w:rsidRPr="00C03701">
        <w:rPr>
          <w:b/>
          <w:i/>
        </w:rPr>
        <w:t xml:space="preserve"> Requirements</w:t>
      </w:r>
    </w:p>
    <w:p w14:paraId="0EC8AA73" w14:textId="77777777" w:rsidR="00BF4EBB" w:rsidRPr="00017495" w:rsidRDefault="00BF4EBB" w:rsidP="00C03701">
      <w:pPr>
        <w:ind w:left="0"/>
        <w:rPr>
          <w:b/>
        </w:rPr>
      </w:pPr>
    </w:p>
    <w:p w14:paraId="21B0E089" w14:textId="22F7CB34" w:rsidR="00BF4EBB" w:rsidRPr="00AA389E" w:rsidRDefault="0051321B" w:rsidP="00AA389E">
      <w:pPr>
        <w:pStyle w:val="CommentText"/>
        <w:ind w:left="0"/>
        <w:rPr>
          <w:sz w:val="24"/>
          <w:szCs w:val="24"/>
        </w:rPr>
      </w:pPr>
      <w:r w:rsidRPr="00AA389E">
        <w:rPr>
          <w:b/>
          <w:sz w:val="24"/>
          <w:szCs w:val="24"/>
        </w:rPr>
        <w:t xml:space="preserve">Only county units of government </w:t>
      </w:r>
      <w:r w:rsidR="00A76EFE" w:rsidRPr="00AA389E">
        <w:rPr>
          <w:b/>
          <w:sz w:val="24"/>
          <w:szCs w:val="24"/>
        </w:rPr>
        <w:t xml:space="preserve">or judicial circuits </w:t>
      </w:r>
      <w:r w:rsidRPr="00AA389E">
        <w:rPr>
          <w:b/>
          <w:sz w:val="24"/>
          <w:szCs w:val="24"/>
        </w:rPr>
        <w:t>are eligible to apply for funds under this notice</w:t>
      </w:r>
      <w:r w:rsidRPr="00AA389E">
        <w:rPr>
          <w:sz w:val="24"/>
          <w:szCs w:val="24"/>
        </w:rPr>
        <w:t>. A county may submit on behalf of a group of counties or a judicial circuit. Private agencies or not-for-profit organizations are not eligible to apply.</w:t>
      </w:r>
      <w:r w:rsidR="00BF4EBB" w:rsidRPr="00AA389E">
        <w:rPr>
          <w:sz w:val="24"/>
          <w:szCs w:val="24"/>
        </w:rPr>
        <w:t xml:space="preserve"> If a county/circuit is currently </w:t>
      </w:r>
      <w:r w:rsidR="00BF4EBB" w:rsidRPr="00AA389E">
        <w:rPr>
          <w:sz w:val="24"/>
          <w:szCs w:val="24"/>
        </w:rPr>
        <w:lastRenderedPageBreak/>
        <w:t xml:space="preserve">receiving ARI funds, the planning process may only be used to assess an expansion program or to fundamentally change the current program. </w:t>
      </w:r>
    </w:p>
    <w:p w14:paraId="0C892DC6" w14:textId="445F62E4" w:rsidR="0051321B" w:rsidRDefault="0051321B" w:rsidP="0051321B">
      <w:pPr>
        <w:ind w:left="0"/>
      </w:pPr>
    </w:p>
    <w:p w14:paraId="6F96A37D" w14:textId="561B8B30" w:rsidR="00EB26D8" w:rsidRPr="00C03701" w:rsidRDefault="00EB26D8" w:rsidP="00C03701">
      <w:pPr>
        <w:pStyle w:val="CommentText"/>
        <w:ind w:left="0"/>
        <w:rPr>
          <w:bCs/>
          <w:sz w:val="24"/>
          <w:u w:val="single"/>
        </w:rPr>
      </w:pPr>
      <w:r w:rsidRPr="00C03701">
        <w:rPr>
          <w:bCs/>
          <w:sz w:val="24"/>
          <w:u w:val="single"/>
        </w:rPr>
        <w:t xml:space="preserve">Mandatory </w:t>
      </w:r>
      <w:r w:rsidR="00AC2A95">
        <w:rPr>
          <w:bCs/>
          <w:sz w:val="24"/>
          <w:u w:val="single"/>
        </w:rPr>
        <w:t xml:space="preserve">Program </w:t>
      </w:r>
      <w:r w:rsidRPr="00C03701">
        <w:rPr>
          <w:bCs/>
          <w:sz w:val="24"/>
          <w:u w:val="single"/>
        </w:rPr>
        <w:t>Elements</w:t>
      </w:r>
    </w:p>
    <w:p w14:paraId="010AF71D" w14:textId="77777777" w:rsidR="00EB26D8" w:rsidRDefault="00EB26D8" w:rsidP="00C03701">
      <w:pPr>
        <w:pStyle w:val="CommentText"/>
        <w:ind w:left="0"/>
        <w:rPr>
          <w:bCs/>
          <w:sz w:val="24"/>
        </w:rPr>
      </w:pPr>
    </w:p>
    <w:p w14:paraId="0959CA98" w14:textId="46351509" w:rsidR="00717CC7" w:rsidRDefault="00A6754F" w:rsidP="00717CC7">
      <w:pPr>
        <w:ind w:left="0"/>
        <w:rPr>
          <w:i/>
        </w:rPr>
      </w:pPr>
      <w:r>
        <w:rPr>
          <w:i/>
        </w:rPr>
        <w:t xml:space="preserve">Planning </w:t>
      </w:r>
      <w:r w:rsidR="00717CC7" w:rsidRPr="00017495">
        <w:rPr>
          <w:i/>
        </w:rPr>
        <w:t>Multi-</w:t>
      </w:r>
      <w:r w:rsidR="00563937">
        <w:rPr>
          <w:i/>
        </w:rPr>
        <w:t>D</w:t>
      </w:r>
      <w:r w:rsidR="00717CC7" w:rsidRPr="00017495">
        <w:rPr>
          <w:i/>
        </w:rPr>
        <w:t xml:space="preserve">isciplinary </w:t>
      </w:r>
      <w:r>
        <w:rPr>
          <w:i/>
        </w:rPr>
        <w:t>Team</w:t>
      </w:r>
    </w:p>
    <w:p w14:paraId="7991029B" w14:textId="77777777" w:rsidR="00563937" w:rsidRPr="00017495" w:rsidRDefault="00563937" w:rsidP="00717CC7">
      <w:pPr>
        <w:ind w:left="0"/>
        <w:rPr>
          <w:i/>
        </w:rPr>
      </w:pPr>
    </w:p>
    <w:p w14:paraId="54BDDCD8" w14:textId="5558E052" w:rsidR="00717CC7" w:rsidRPr="00017495" w:rsidRDefault="00717CC7" w:rsidP="00717CC7">
      <w:pPr>
        <w:ind w:left="0"/>
      </w:pPr>
      <w:r w:rsidRPr="00017495">
        <w:t xml:space="preserve">Each applicant should identify a multi-disciplinary </w:t>
      </w:r>
      <w:r w:rsidR="00A6754F">
        <w:t>team (MDT) to oversee and execute the planning process,</w:t>
      </w:r>
      <w:r w:rsidRPr="00017495">
        <w:t xml:space="preserve"> representing the criminal justice spectrum (e.g., judiciary, prosecution, defense, probation) and the community (e.g., treatment providers, social services, business) to guide planning. </w:t>
      </w:r>
      <w:r w:rsidR="00A76EFE">
        <w:t>L</w:t>
      </w:r>
      <w:r w:rsidRPr="00017495">
        <w:t xml:space="preserve">ist </w:t>
      </w:r>
      <w:r w:rsidR="00A76EFE">
        <w:t xml:space="preserve">the </w:t>
      </w:r>
      <w:r w:rsidRPr="00017495">
        <w:t>titles</w:t>
      </w:r>
      <w:r w:rsidR="00A76EFE">
        <w:t>, org</w:t>
      </w:r>
      <w:r w:rsidR="00BF4EBB">
        <w:t>a</w:t>
      </w:r>
      <w:r w:rsidR="00A76EFE">
        <w:t>nizations, and focus area of</w:t>
      </w:r>
      <w:r w:rsidRPr="00017495">
        <w:t xml:space="preserve"> all partners</w:t>
      </w:r>
      <w:r w:rsidR="00BF4EBB">
        <w:t>;</w:t>
      </w:r>
      <w:r w:rsidR="00A76EFE">
        <w:t xml:space="preserve"> proper names are not required</w:t>
      </w:r>
      <w:r w:rsidRPr="00017495">
        <w:t>.</w:t>
      </w:r>
    </w:p>
    <w:p w14:paraId="1D561891" w14:textId="77777777" w:rsidR="003A1DBC" w:rsidRPr="00017495" w:rsidRDefault="003A1DBC" w:rsidP="003A1DBC">
      <w:pPr>
        <w:ind w:left="0"/>
        <w:rPr>
          <w:i/>
        </w:rPr>
      </w:pPr>
    </w:p>
    <w:p w14:paraId="5D5A5F83" w14:textId="77777777" w:rsidR="00563937" w:rsidRDefault="003A1DBC" w:rsidP="003A1DBC">
      <w:pPr>
        <w:ind w:left="0"/>
        <w:rPr>
          <w:i/>
        </w:rPr>
      </w:pPr>
      <w:r w:rsidRPr="00017495">
        <w:rPr>
          <w:i/>
        </w:rPr>
        <w:t>Planning Activities</w:t>
      </w:r>
    </w:p>
    <w:p w14:paraId="0AF92C86" w14:textId="4A6D4770" w:rsidR="003A1DBC" w:rsidRPr="00017495" w:rsidRDefault="003A1DBC" w:rsidP="003A1DBC">
      <w:pPr>
        <w:ind w:left="0"/>
      </w:pPr>
      <w:r w:rsidRPr="00017495">
        <w:rPr>
          <w:i/>
        </w:rPr>
        <w:br/>
      </w:r>
      <w:r w:rsidRPr="00017495">
        <w:t xml:space="preserve">Funds are to be used solely </w:t>
      </w:r>
      <w:r w:rsidR="007B5955" w:rsidRPr="00017495">
        <w:t>for</w:t>
      </w:r>
      <w:r w:rsidRPr="00017495">
        <w:t xml:space="preserve"> developing a local plan to implement ARI</w:t>
      </w:r>
      <w:r w:rsidR="00A6754F">
        <w:t xml:space="preserve"> to expand alternatives to incarceration</w:t>
      </w:r>
      <w:r w:rsidRPr="00017495">
        <w:t xml:space="preserve">. Uses of planning grant funds may include, but are not limited to: </w:t>
      </w:r>
    </w:p>
    <w:p w14:paraId="142DCCDA" w14:textId="77777777" w:rsidR="003A1DBC" w:rsidRPr="00017495" w:rsidRDefault="003A1DBC" w:rsidP="008B7212">
      <w:pPr>
        <w:pStyle w:val="ListParagraph"/>
      </w:pPr>
    </w:p>
    <w:p w14:paraId="3C187534" w14:textId="700AB28F" w:rsidR="003A1DBC" w:rsidRPr="00017495" w:rsidRDefault="003A1DBC" w:rsidP="008B7212">
      <w:pPr>
        <w:pStyle w:val="ListParagraph"/>
        <w:numPr>
          <w:ilvl w:val="0"/>
          <w:numId w:val="45"/>
        </w:numPr>
      </w:pPr>
      <w:r w:rsidRPr="00017495">
        <w:t>Employing an outside facilitator or strategic planning consultant.</w:t>
      </w:r>
    </w:p>
    <w:p w14:paraId="1155139A" w14:textId="43DCE5EC" w:rsidR="003A1DBC" w:rsidRPr="00017495" w:rsidRDefault="000A3685" w:rsidP="008B7212">
      <w:pPr>
        <w:pStyle w:val="ListParagraph"/>
        <w:numPr>
          <w:ilvl w:val="0"/>
          <w:numId w:val="45"/>
        </w:numPr>
      </w:pPr>
      <w:r>
        <w:t>Performing</w:t>
      </w:r>
      <w:r w:rsidR="003A1DBC" w:rsidRPr="00017495">
        <w:t xml:space="preserve"> an outside or in-house data analysis.</w:t>
      </w:r>
    </w:p>
    <w:p w14:paraId="5D7F2228" w14:textId="01DBF68D" w:rsidR="003A1DBC" w:rsidRPr="00017495" w:rsidRDefault="003A1DBC" w:rsidP="008B7212">
      <w:pPr>
        <w:pStyle w:val="ListParagraph"/>
        <w:numPr>
          <w:ilvl w:val="0"/>
          <w:numId w:val="45"/>
        </w:numPr>
      </w:pPr>
      <w:r w:rsidRPr="00017495">
        <w:t>Conducting site visits to observe successful diversion programs.</w:t>
      </w:r>
    </w:p>
    <w:p w14:paraId="714E3F2E" w14:textId="6E8E383E" w:rsidR="003A1DBC" w:rsidRPr="00017495" w:rsidRDefault="003A1DBC" w:rsidP="008B7212">
      <w:pPr>
        <w:pStyle w:val="ListParagraph"/>
        <w:numPr>
          <w:ilvl w:val="0"/>
          <w:numId w:val="45"/>
        </w:numPr>
      </w:pPr>
      <w:r w:rsidRPr="00017495">
        <w:t>Community resource mapping.</w:t>
      </w:r>
    </w:p>
    <w:p w14:paraId="61DAC211" w14:textId="77777777" w:rsidR="003A1DBC" w:rsidRPr="00017495" w:rsidRDefault="003A1DBC" w:rsidP="003A1DBC">
      <w:pPr>
        <w:ind w:left="0"/>
      </w:pPr>
    </w:p>
    <w:p w14:paraId="2053F7D8" w14:textId="0CA80D18" w:rsidR="003A1DBC" w:rsidRPr="00017495" w:rsidRDefault="003A1DBC" w:rsidP="003A1DBC">
      <w:pPr>
        <w:ind w:left="0"/>
      </w:pPr>
      <w:r w:rsidRPr="00017495">
        <w:t xml:space="preserve">Funds may not be used for capital expenditures, renovations or remodeling, or any food and beverage purchases. In addition, ARI funds shall not be used to supplant existing federal, state, county, or locally funded programs. </w:t>
      </w:r>
    </w:p>
    <w:p w14:paraId="5057E200" w14:textId="77777777" w:rsidR="003A1DBC" w:rsidRPr="00017495" w:rsidRDefault="003A1DBC" w:rsidP="003A1DBC">
      <w:pPr>
        <w:ind w:left="0"/>
      </w:pPr>
    </w:p>
    <w:p w14:paraId="5685ED3F" w14:textId="4C474D73" w:rsidR="003A1DBC" w:rsidRDefault="003A1DBC" w:rsidP="003A1DBC">
      <w:pPr>
        <w:ind w:left="0"/>
        <w:rPr>
          <w:i/>
        </w:rPr>
      </w:pPr>
      <w:r w:rsidRPr="00017495">
        <w:rPr>
          <w:i/>
        </w:rPr>
        <w:t>Local Plan</w:t>
      </w:r>
    </w:p>
    <w:p w14:paraId="6673088C" w14:textId="77777777" w:rsidR="00563937" w:rsidRPr="00017495" w:rsidRDefault="00563937" w:rsidP="003A1DBC">
      <w:pPr>
        <w:ind w:left="0"/>
        <w:rPr>
          <w:i/>
        </w:rPr>
      </w:pPr>
    </w:p>
    <w:p w14:paraId="6AEB5C28" w14:textId="1607E1CB" w:rsidR="003A1DBC" w:rsidRPr="00017495" w:rsidRDefault="003A1DBC" w:rsidP="003A1DBC">
      <w:pPr>
        <w:ind w:left="0"/>
      </w:pPr>
      <w:r w:rsidRPr="00017495">
        <w:t xml:space="preserve">At the end of the planning </w:t>
      </w:r>
      <w:r w:rsidR="00A76EFE" w:rsidRPr="00017495">
        <w:t>period</w:t>
      </w:r>
      <w:r w:rsidR="00A76EFE">
        <w:t xml:space="preserve"> of </w:t>
      </w:r>
      <w:r w:rsidR="00E20424">
        <w:t>performance</w:t>
      </w:r>
      <w:r w:rsidRPr="00017495">
        <w:t xml:space="preserve">, funded jurisdictions must complete and submit a local ARI implementation plan using the standard plan template (available at </w:t>
      </w:r>
      <w:hyperlink r:id="rId12" w:history="1">
        <w:r w:rsidRPr="00017495">
          <w:rPr>
            <w:rStyle w:val="Hyperlink"/>
          </w:rPr>
          <w:t>http://www.icjia.state.il.us/redeploy/standard-plan.cfm</w:t>
        </w:r>
      </w:hyperlink>
      <w:r w:rsidRPr="00017495">
        <w:t xml:space="preserve">). </w:t>
      </w:r>
      <w:r w:rsidR="00D938BD">
        <w:t>J</w:t>
      </w:r>
      <w:r w:rsidRPr="00017495">
        <w:t>urisdictions are under no obligation to implement the plan</w:t>
      </w:r>
      <w:r w:rsidR="00D938BD">
        <w:t xml:space="preserve">; </w:t>
      </w:r>
      <w:r w:rsidR="00E20424">
        <w:t xml:space="preserve">however, </w:t>
      </w:r>
      <w:r w:rsidR="00821DFC">
        <w:t>a letter stating why the plan will not be implemented</w:t>
      </w:r>
      <w:r w:rsidR="006A1A67">
        <w:t>,</w:t>
      </w:r>
      <w:r w:rsidR="00821DFC">
        <w:t xml:space="preserve"> or </w:t>
      </w:r>
      <w:r w:rsidR="00BF4EBB">
        <w:t>a detailed explanation with supporting evidence as to why</w:t>
      </w:r>
      <w:r w:rsidR="00E05C30">
        <w:t xml:space="preserve"> a plan was not developed</w:t>
      </w:r>
      <w:r w:rsidR="006A1A67">
        <w:t>,</w:t>
      </w:r>
      <w:r w:rsidR="00E05C30">
        <w:t xml:space="preserve"> must be submitted by the end of the performance period</w:t>
      </w:r>
      <w:r w:rsidR="007F5397">
        <w:t xml:space="preserve"> in conjunction with periodic progress reports</w:t>
      </w:r>
      <w:r w:rsidR="00DA4C3A">
        <w:t xml:space="preserve">, on or before July 15, 2019. </w:t>
      </w:r>
      <w:r w:rsidR="007F5397" w:rsidRPr="00017495">
        <w:t xml:space="preserve"> </w:t>
      </w:r>
    </w:p>
    <w:p w14:paraId="623B554D" w14:textId="77777777" w:rsidR="003A1DBC" w:rsidRPr="00017495" w:rsidRDefault="003A1DBC" w:rsidP="003A1DBC">
      <w:pPr>
        <w:ind w:left="0"/>
        <w:rPr>
          <w:i/>
        </w:rPr>
      </w:pPr>
    </w:p>
    <w:p w14:paraId="5B707A6A" w14:textId="23E051C5" w:rsidR="00F808E9" w:rsidRPr="00017495" w:rsidRDefault="006D2857" w:rsidP="00C03701">
      <w:pPr>
        <w:ind w:left="0"/>
        <w:rPr>
          <w:szCs w:val="28"/>
          <w:u w:val="single"/>
        </w:rPr>
      </w:pPr>
      <w:r w:rsidRPr="00017495">
        <w:rPr>
          <w:szCs w:val="28"/>
          <w:u w:val="single"/>
        </w:rPr>
        <w:t>Goals, Objectives</w:t>
      </w:r>
      <w:r w:rsidR="006734CF">
        <w:rPr>
          <w:szCs w:val="28"/>
          <w:u w:val="single"/>
        </w:rPr>
        <w:t>,</w:t>
      </w:r>
      <w:r w:rsidRPr="00017495">
        <w:rPr>
          <w:szCs w:val="28"/>
          <w:u w:val="single"/>
        </w:rPr>
        <w:t xml:space="preserve"> and Performance Metrics</w:t>
      </w:r>
    </w:p>
    <w:p w14:paraId="05152727" w14:textId="77777777" w:rsidR="00F808E9" w:rsidRPr="00017495" w:rsidRDefault="00F808E9" w:rsidP="00C03701">
      <w:pPr>
        <w:ind w:left="0"/>
      </w:pPr>
    </w:p>
    <w:p w14:paraId="24B16D55" w14:textId="77777777" w:rsidR="00F90785" w:rsidRDefault="00F90785" w:rsidP="00F90785">
      <w:pPr>
        <w:pStyle w:val="Default"/>
        <w:rPr>
          <w:rFonts w:ascii="Times New Roman" w:hAnsi="Times New Roman" w:cs="Times New Roman"/>
        </w:rPr>
      </w:pPr>
      <w:bookmarkStart w:id="1" w:name="_Hlk522521124"/>
      <w:r>
        <w:rPr>
          <w:rFonts w:ascii="Times New Roman" w:hAnsi="Times New Roman" w:cs="Times New Roman"/>
        </w:rPr>
        <w:t xml:space="preserve">Funded programs will be required to work in a data-driven, evidence-based, results-oriented fashion; and, upon implementation, </w:t>
      </w:r>
      <w:r w:rsidRPr="00017495">
        <w:rPr>
          <w:rFonts w:ascii="Times New Roman" w:hAnsi="Times New Roman" w:cs="Times New Roman"/>
        </w:rPr>
        <w:t xml:space="preserve">submit quarterly </w:t>
      </w:r>
      <w:r>
        <w:rPr>
          <w:rFonts w:ascii="Times New Roman" w:hAnsi="Times New Roman" w:cs="Times New Roman"/>
        </w:rPr>
        <w:t>participant</w:t>
      </w:r>
      <w:r w:rsidRPr="00017495">
        <w:rPr>
          <w:rFonts w:ascii="Times New Roman" w:hAnsi="Times New Roman" w:cs="Times New Roman"/>
        </w:rPr>
        <w:t xml:space="preserve">-level data and performance </w:t>
      </w:r>
      <w:r w:rsidRPr="00017495">
        <w:rPr>
          <w:rFonts w:ascii="Times New Roman" w:hAnsi="Times New Roman" w:cs="Times New Roman"/>
        </w:rPr>
        <w:lastRenderedPageBreak/>
        <w:t xml:space="preserve">progress reports </w:t>
      </w:r>
      <w:r>
        <w:rPr>
          <w:rFonts w:ascii="Times New Roman" w:hAnsi="Times New Roman" w:cs="Times New Roman"/>
        </w:rPr>
        <w:t xml:space="preserve">to demonstrate accordance with the ARI performance standards included as </w:t>
      </w:r>
      <w:r w:rsidRPr="00F2334A">
        <w:rPr>
          <w:rFonts w:ascii="Times New Roman" w:hAnsi="Times New Roman" w:cs="Times New Roman"/>
          <w:i/>
        </w:rPr>
        <w:t xml:space="preserve">Appendix </w:t>
      </w:r>
      <w:r>
        <w:rPr>
          <w:rFonts w:ascii="Times New Roman" w:hAnsi="Times New Roman" w:cs="Times New Roman"/>
          <w:i/>
        </w:rPr>
        <w:t>B.</w:t>
      </w:r>
    </w:p>
    <w:p w14:paraId="558F35B5" w14:textId="77777777" w:rsidR="00F90785" w:rsidRDefault="00F90785" w:rsidP="00E93CE7">
      <w:pPr>
        <w:pStyle w:val="Default"/>
        <w:rPr>
          <w:rFonts w:ascii="Times New Roman" w:hAnsi="Times New Roman" w:cs="Times New Roman"/>
        </w:rPr>
      </w:pPr>
    </w:p>
    <w:p w14:paraId="537E7FAB" w14:textId="51761FAB" w:rsidR="00A6754F" w:rsidRDefault="00A6754F" w:rsidP="00C03701">
      <w:pPr>
        <w:pStyle w:val="Default"/>
        <w:rPr>
          <w:rFonts w:ascii="Times New Roman" w:hAnsi="Times New Roman" w:cs="Times New Roman"/>
        </w:rPr>
      </w:pPr>
      <w:r>
        <w:rPr>
          <w:rFonts w:ascii="Times New Roman" w:hAnsi="Times New Roman" w:cs="Times New Roman"/>
        </w:rPr>
        <w:t>The following goals, objectives and metrics apply specifically to the planning process</w:t>
      </w:r>
      <w:r w:rsidR="006D5D25">
        <w:rPr>
          <w:rFonts w:ascii="Times New Roman" w:hAnsi="Times New Roman" w:cs="Times New Roman"/>
        </w:rPr>
        <w:t>. Throughout the planning process, applicants are expected to document progress toward each objective according to defined performance measures.</w:t>
      </w:r>
    </w:p>
    <w:bookmarkEnd w:id="1"/>
    <w:p w14:paraId="4B1B4E8A" w14:textId="147E4BFB" w:rsidR="00A31C4D" w:rsidRDefault="00A31C4D" w:rsidP="00C03701">
      <w:pPr>
        <w:pStyle w:val="Default"/>
        <w:rPr>
          <w:rFonts w:ascii="Times New Roman" w:hAnsi="Times New Roman" w:cs="Times New Roman"/>
        </w:rPr>
      </w:pPr>
    </w:p>
    <w:tbl>
      <w:tblPr>
        <w:tblStyle w:val="TableGrid3"/>
        <w:tblW w:w="9445" w:type="dxa"/>
        <w:tblLook w:val="04A0" w:firstRow="1" w:lastRow="0" w:firstColumn="1" w:lastColumn="0" w:noHBand="0" w:noVBand="1"/>
      </w:tblPr>
      <w:tblGrid>
        <w:gridCol w:w="4495"/>
        <w:gridCol w:w="4950"/>
      </w:tblGrid>
      <w:tr w:rsidR="0040711A" w:rsidRPr="0040711A" w14:paraId="2149AB77" w14:textId="77777777" w:rsidTr="0040711A">
        <w:tc>
          <w:tcPr>
            <w:tcW w:w="9445" w:type="dxa"/>
            <w:gridSpan w:val="2"/>
            <w:tcBorders>
              <w:top w:val="single" w:sz="4" w:space="0" w:color="auto"/>
              <w:left w:val="single" w:sz="4" w:space="0" w:color="auto"/>
              <w:bottom w:val="single" w:sz="4" w:space="0" w:color="auto"/>
              <w:right w:val="single" w:sz="4" w:space="0" w:color="auto"/>
            </w:tcBorders>
            <w:hideMark/>
          </w:tcPr>
          <w:p w14:paraId="5C220C96" w14:textId="2C301D56" w:rsidR="0040711A" w:rsidRPr="00B02517" w:rsidRDefault="0040711A" w:rsidP="00BB77FB">
            <w:pPr>
              <w:pStyle w:val="Default"/>
              <w:rPr>
                <w:rFonts w:ascii="Times New Roman" w:hAnsi="Times New Roman" w:cs="Times New Roman"/>
                <w:b/>
                <w:sz w:val="24"/>
                <w:szCs w:val="24"/>
              </w:rPr>
            </w:pPr>
            <w:bookmarkStart w:id="2" w:name="_Hlk522517765"/>
            <w:r w:rsidRPr="00B02517">
              <w:rPr>
                <w:rFonts w:ascii="Times New Roman" w:hAnsi="Times New Roman" w:cs="Times New Roman"/>
                <w:b/>
                <w:sz w:val="24"/>
                <w:szCs w:val="24"/>
              </w:rPr>
              <w:t xml:space="preserve">Goal: </w:t>
            </w:r>
            <w:r w:rsidR="00B02517" w:rsidRPr="00B02517">
              <w:rPr>
                <w:rFonts w:ascii="Times New Roman" w:hAnsi="Times New Roman" w:cs="Times New Roman"/>
                <w:sz w:val="24"/>
                <w:szCs w:val="24"/>
              </w:rPr>
              <w:t>Develop a strategy (local plan) to increase local capacity to provide supervision and services to a target population of probation-eligible offenders, at moderate to high risk of reoffending, who would otherwise be incarcerated.</w:t>
            </w:r>
          </w:p>
        </w:tc>
      </w:tr>
      <w:tr w:rsidR="0040711A" w:rsidRPr="0040711A" w14:paraId="0A0EB816" w14:textId="77777777" w:rsidTr="0040711A">
        <w:tc>
          <w:tcPr>
            <w:tcW w:w="4495" w:type="dxa"/>
            <w:tcBorders>
              <w:top w:val="single" w:sz="4" w:space="0" w:color="auto"/>
              <w:left w:val="single" w:sz="4" w:space="0" w:color="auto"/>
              <w:bottom w:val="single" w:sz="4" w:space="0" w:color="auto"/>
              <w:right w:val="single" w:sz="4" w:space="0" w:color="auto"/>
            </w:tcBorders>
            <w:shd w:val="clear" w:color="auto" w:fill="D9D9D9"/>
            <w:hideMark/>
          </w:tcPr>
          <w:p w14:paraId="2243A6F6" w14:textId="77777777" w:rsidR="0040711A" w:rsidRPr="008B7212" w:rsidRDefault="0040711A" w:rsidP="00BB77FB">
            <w:pPr>
              <w:rPr>
                <w:rFonts w:ascii="Times New Roman" w:eastAsia="Calibri" w:hAnsi="Times New Roman" w:cs="Times New Roman"/>
                <w:b/>
                <w:sz w:val="24"/>
                <w:szCs w:val="24"/>
              </w:rPr>
            </w:pPr>
            <w:r w:rsidRPr="008B7212">
              <w:rPr>
                <w:rFonts w:ascii="Times New Roman" w:eastAsia="Calibri" w:hAnsi="Times New Roman" w:cs="Times New Roman"/>
                <w:b/>
                <w:sz w:val="24"/>
                <w:szCs w:val="24"/>
              </w:rPr>
              <w:t>Process Objectives</w:t>
            </w:r>
          </w:p>
        </w:tc>
        <w:tc>
          <w:tcPr>
            <w:tcW w:w="4950" w:type="dxa"/>
            <w:tcBorders>
              <w:top w:val="single" w:sz="4" w:space="0" w:color="auto"/>
              <w:left w:val="single" w:sz="4" w:space="0" w:color="auto"/>
              <w:bottom w:val="single" w:sz="4" w:space="0" w:color="auto"/>
              <w:right w:val="single" w:sz="4" w:space="0" w:color="auto"/>
            </w:tcBorders>
            <w:shd w:val="clear" w:color="auto" w:fill="D9D9D9"/>
            <w:hideMark/>
          </w:tcPr>
          <w:p w14:paraId="1868DDB9" w14:textId="77777777" w:rsidR="0040711A" w:rsidRPr="008B7212" w:rsidRDefault="0040711A" w:rsidP="00BB77FB">
            <w:pPr>
              <w:rPr>
                <w:rFonts w:ascii="Times New Roman" w:eastAsia="Calibri" w:hAnsi="Times New Roman" w:cs="Times New Roman"/>
                <w:b/>
                <w:sz w:val="24"/>
                <w:szCs w:val="24"/>
              </w:rPr>
            </w:pPr>
            <w:r w:rsidRPr="008B7212">
              <w:rPr>
                <w:rFonts w:ascii="Times New Roman" w:eastAsia="Calibri" w:hAnsi="Times New Roman" w:cs="Times New Roman"/>
                <w:b/>
                <w:sz w:val="24"/>
                <w:szCs w:val="24"/>
              </w:rPr>
              <w:t>Performance Measures</w:t>
            </w:r>
          </w:p>
        </w:tc>
      </w:tr>
      <w:tr w:rsidR="0040711A" w:rsidRPr="0040711A" w14:paraId="0AEDD740" w14:textId="77777777" w:rsidTr="0040711A">
        <w:tc>
          <w:tcPr>
            <w:tcW w:w="4495" w:type="dxa"/>
            <w:hideMark/>
          </w:tcPr>
          <w:p w14:paraId="71B8C81B" w14:textId="77777777" w:rsidR="0040711A" w:rsidRPr="008B7212" w:rsidRDefault="0040711A" w:rsidP="00BB77FB">
            <w:pPr>
              <w:rPr>
                <w:rFonts w:ascii="Times New Roman" w:eastAsia="Calibri" w:hAnsi="Times New Roman" w:cs="Times New Roman"/>
                <w:sz w:val="24"/>
                <w:szCs w:val="24"/>
              </w:rPr>
            </w:pPr>
            <w:r w:rsidRPr="008B7212">
              <w:rPr>
                <w:rFonts w:ascii="Times New Roman" w:eastAsia="Calibri" w:hAnsi="Times New Roman" w:cs="Times New Roman"/>
                <w:sz w:val="24"/>
                <w:szCs w:val="24"/>
              </w:rPr>
              <w:t>Form multi-disciplinary team (MDT) in charge of planning</w:t>
            </w:r>
          </w:p>
        </w:tc>
        <w:tc>
          <w:tcPr>
            <w:tcW w:w="4950" w:type="dxa"/>
            <w:hideMark/>
          </w:tcPr>
          <w:p w14:paraId="58E1A2C7" w14:textId="77777777" w:rsidR="0040711A" w:rsidRPr="008B7212" w:rsidRDefault="0040711A" w:rsidP="0040711A">
            <w:pPr>
              <w:numPr>
                <w:ilvl w:val="0"/>
                <w:numId w:val="7"/>
              </w:numPr>
              <w:contextualSpacing/>
              <w:rPr>
                <w:rFonts w:ascii="Times New Roman" w:eastAsia="Calibri" w:hAnsi="Times New Roman" w:cs="Times New Roman"/>
                <w:sz w:val="24"/>
                <w:szCs w:val="24"/>
              </w:rPr>
            </w:pPr>
            <w:r w:rsidRPr="008B7212">
              <w:rPr>
                <w:rFonts w:ascii="Times New Roman" w:eastAsia="Calibri" w:hAnsi="Times New Roman" w:cs="Times New Roman"/>
                <w:sz w:val="24"/>
                <w:szCs w:val="24"/>
              </w:rPr>
              <w:t xml:space="preserve">Date MDT formed </w:t>
            </w:r>
          </w:p>
          <w:p w14:paraId="632E8694" w14:textId="77777777" w:rsidR="0040711A" w:rsidRPr="008B7212" w:rsidRDefault="0040711A" w:rsidP="0040711A">
            <w:pPr>
              <w:numPr>
                <w:ilvl w:val="0"/>
                <w:numId w:val="7"/>
              </w:numPr>
              <w:contextualSpacing/>
              <w:rPr>
                <w:rFonts w:ascii="Times New Roman" w:eastAsia="Calibri" w:hAnsi="Times New Roman" w:cs="Times New Roman"/>
                <w:sz w:val="24"/>
                <w:szCs w:val="24"/>
              </w:rPr>
            </w:pPr>
            <w:r w:rsidRPr="008B7212">
              <w:rPr>
                <w:rFonts w:ascii="Times New Roman" w:eastAsia="Calibri" w:hAnsi="Times New Roman" w:cs="Times New Roman"/>
                <w:sz w:val="24"/>
                <w:szCs w:val="24"/>
              </w:rPr>
              <w:t xml:space="preserve">Number and types of membership </w:t>
            </w:r>
          </w:p>
        </w:tc>
      </w:tr>
      <w:tr w:rsidR="0040711A" w:rsidRPr="0040711A" w14:paraId="5280427E" w14:textId="77777777" w:rsidTr="0040711A">
        <w:tc>
          <w:tcPr>
            <w:tcW w:w="4495" w:type="dxa"/>
          </w:tcPr>
          <w:p w14:paraId="616772E9" w14:textId="77777777" w:rsidR="0040711A" w:rsidRPr="008B7212" w:rsidRDefault="0040711A" w:rsidP="00BB77FB">
            <w:pPr>
              <w:rPr>
                <w:rFonts w:ascii="Times New Roman" w:eastAsia="Calibri" w:hAnsi="Times New Roman" w:cs="Times New Roman"/>
                <w:sz w:val="24"/>
                <w:szCs w:val="24"/>
              </w:rPr>
            </w:pPr>
            <w:r w:rsidRPr="008B7212">
              <w:rPr>
                <w:rFonts w:ascii="Times New Roman" w:eastAsia="Calibri" w:hAnsi="Times New Roman" w:cs="Times New Roman"/>
                <w:sz w:val="24"/>
                <w:szCs w:val="24"/>
              </w:rPr>
              <w:t xml:space="preserve">Convene regular (at minimum monthly) MDT meetings which include a majority of members in attendance. </w:t>
            </w:r>
          </w:p>
        </w:tc>
        <w:tc>
          <w:tcPr>
            <w:tcW w:w="4950" w:type="dxa"/>
          </w:tcPr>
          <w:p w14:paraId="58B04B7B" w14:textId="77777777" w:rsidR="0040711A" w:rsidRPr="008B7212" w:rsidRDefault="0040711A" w:rsidP="0040711A">
            <w:pPr>
              <w:numPr>
                <w:ilvl w:val="0"/>
                <w:numId w:val="7"/>
              </w:numPr>
              <w:contextualSpacing/>
              <w:rPr>
                <w:rFonts w:ascii="Times New Roman" w:eastAsia="Calibri" w:hAnsi="Times New Roman" w:cs="Times New Roman"/>
                <w:sz w:val="24"/>
                <w:szCs w:val="24"/>
              </w:rPr>
            </w:pPr>
            <w:r w:rsidRPr="008B7212">
              <w:rPr>
                <w:rFonts w:ascii="Times New Roman" w:eastAsia="Calibri" w:hAnsi="Times New Roman" w:cs="Times New Roman"/>
                <w:sz w:val="24"/>
                <w:szCs w:val="24"/>
              </w:rPr>
              <w:t>Number of meetings held</w:t>
            </w:r>
          </w:p>
          <w:p w14:paraId="7E4C8AAB" w14:textId="77777777" w:rsidR="0040711A" w:rsidRPr="008B7212" w:rsidRDefault="0040711A" w:rsidP="0040711A">
            <w:pPr>
              <w:numPr>
                <w:ilvl w:val="0"/>
                <w:numId w:val="7"/>
              </w:numPr>
              <w:contextualSpacing/>
              <w:rPr>
                <w:rFonts w:ascii="Times New Roman" w:eastAsia="Calibri" w:hAnsi="Times New Roman" w:cs="Times New Roman"/>
                <w:sz w:val="24"/>
                <w:szCs w:val="24"/>
              </w:rPr>
            </w:pPr>
            <w:r w:rsidRPr="008B7212">
              <w:rPr>
                <w:rFonts w:ascii="Times New Roman" w:eastAsia="Calibri" w:hAnsi="Times New Roman" w:cs="Times New Roman"/>
                <w:sz w:val="24"/>
                <w:szCs w:val="24"/>
              </w:rPr>
              <w:t>Number of members in attendance</w:t>
            </w:r>
          </w:p>
          <w:p w14:paraId="5970ABEB" w14:textId="77777777" w:rsidR="0040711A" w:rsidRPr="008B7212" w:rsidRDefault="0040711A" w:rsidP="0040711A">
            <w:pPr>
              <w:numPr>
                <w:ilvl w:val="0"/>
                <w:numId w:val="7"/>
              </w:numPr>
              <w:contextualSpacing/>
              <w:rPr>
                <w:rFonts w:ascii="Times New Roman" w:eastAsia="Calibri" w:hAnsi="Times New Roman" w:cs="Times New Roman"/>
                <w:sz w:val="24"/>
                <w:szCs w:val="24"/>
              </w:rPr>
            </w:pPr>
            <w:r w:rsidRPr="008B7212">
              <w:rPr>
                <w:rFonts w:ascii="Times New Roman" w:eastAsia="Calibri" w:hAnsi="Times New Roman" w:cs="Times New Roman"/>
                <w:sz w:val="24"/>
                <w:szCs w:val="24"/>
              </w:rPr>
              <w:t>Percentage of members in attendance</w:t>
            </w:r>
          </w:p>
        </w:tc>
      </w:tr>
      <w:tr w:rsidR="0040711A" w:rsidRPr="0040711A" w14:paraId="116EAAD2" w14:textId="77777777" w:rsidTr="0040711A">
        <w:tc>
          <w:tcPr>
            <w:tcW w:w="4495" w:type="dxa"/>
          </w:tcPr>
          <w:p w14:paraId="1D83B9BC" w14:textId="17481966" w:rsidR="0040711A" w:rsidRPr="008B7212" w:rsidRDefault="0040711A" w:rsidP="00BB77FB">
            <w:pPr>
              <w:rPr>
                <w:rFonts w:ascii="Times New Roman" w:eastAsia="Calibri" w:hAnsi="Times New Roman" w:cs="Times New Roman"/>
                <w:sz w:val="24"/>
                <w:szCs w:val="24"/>
              </w:rPr>
            </w:pPr>
            <w:r w:rsidRPr="008B7212">
              <w:rPr>
                <w:rFonts w:ascii="Times New Roman" w:eastAsia="Calibri" w:hAnsi="Times New Roman" w:cs="Times New Roman"/>
                <w:sz w:val="24"/>
                <w:szCs w:val="24"/>
              </w:rPr>
              <w:t>Analyze data on use of prison for probation-eligible offenders</w:t>
            </w:r>
          </w:p>
        </w:tc>
        <w:tc>
          <w:tcPr>
            <w:tcW w:w="4950" w:type="dxa"/>
          </w:tcPr>
          <w:p w14:paraId="61793298" w14:textId="77777777" w:rsidR="0040711A" w:rsidRPr="008B7212" w:rsidRDefault="0040711A" w:rsidP="0040711A">
            <w:pPr>
              <w:numPr>
                <w:ilvl w:val="0"/>
                <w:numId w:val="7"/>
              </w:numPr>
              <w:contextualSpacing/>
              <w:rPr>
                <w:rFonts w:ascii="Times New Roman" w:eastAsia="Calibri" w:hAnsi="Times New Roman" w:cs="Times New Roman"/>
                <w:sz w:val="24"/>
                <w:szCs w:val="24"/>
              </w:rPr>
            </w:pPr>
            <w:r w:rsidRPr="008B7212">
              <w:rPr>
                <w:rFonts w:ascii="Times New Roman" w:eastAsia="Calibri" w:hAnsi="Times New Roman" w:cs="Times New Roman"/>
                <w:sz w:val="24"/>
                <w:szCs w:val="24"/>
              </w:rPr>
              <w:t>Number of hours engaged in data analysis</w:t>
            </w:r>
            <w:r w:rsidRPr="008B7212" w:rsidDel="00175D35">
              <w:rPr>
                <w:rFonts w:ascii="Times New Roman" w:eastAsia="Calibri" w:hAnsi="Times New Roman" w:cs="Times New Roman"/>
                <w:sz w:val="24"/>
                <w:szCs w:val="24"/>
              </w:rPr>
              <w:t xml:space="preserve"> </w:t>
            </w:r>
          </w:p>
          <w:p w14:paraId="0196CE22" w14:textId="77777777" w:rsidR="0040711A" w:rsidRPr="008B7212" w:rsidRDefault="0040711A" w:rsidP="0040711A">
            <w:pPr>
              <w:numPr>
                <w:ilvl w:val="0"/>
                <w:numId w:val="7"/>
              </w:numPr>
              <w:contextualSpacing/>
              <w:rPr>
                <w:rFonts w:ascii="Times New Roman" w:eastAsia="Calibri" w:hAnsi="Times New Roman" w:cs="Times New Roman"/>
                <w:sz w:val="24"/>
                <w:szCs w:val="24"/>
              </w:rPr>
            </w:pPr>
            <w:r w:rsidRPr="008B7212">
              <w:rPr>
                <w:rFonts w:ascii="Times New Roman" w:eastAsia="Calibri" w:hAnsi="Times New Roman" w:cs="Times New Roman"/>
                <w:sz w:val="24"/>
                <w:szCs w:val="24"/>
              </w:rPr>
              <w:t xml:space="preserve">Number and types of data analyzed </w:t>
            </w:r>
          </w:p>
        </w:tc>
      </w:tr>
      <w:tr w:rsidR="0040711A" w:rsidRPr="0040711A" w14:paraId="1DE19B36" w14:textId="77777777" w:rsidTr="0040711A">
        <w:tc>
          <w:tcPr>
            <w:tcW w:w="4495" w:type="dxa"/>
          </w:tcPr>
          <w:p w14:paraId="5D9C042B" w14:textId="77777777" w:rsidR="0040711A" w:rsidRPr="008B7212" w:rsidRDefault="0040711A" w:rsidP="00BB77FB">
            <w:pPr>
              <w:rPr>
                <w:rFonts w:ascii="Times New Roman" w:eastAsia="Calibri" w:hAnsi="Times New Roman" w:cs="Times New Roman"/>
                <w:sz w:val="24"/>
                <w:szCs w:val="24"/>
              </w:rPr>
            </w:pPr>
            <w:r w:rsidRPr="008B7212">
              <w:rPr>
                <w:rFonts w:ascii="Times New Roman" w:eastAsia="Calibri" w:hAnsi="Times New Roman" w:cs="Times New Roman"/>
                <w:sz w:val="24"/>
                <w:szCs w:val="24"/>
              </w:rPr>
              <w:t>Assess current community capacity and identify gaps in services</w:t>
            </w:r>
          </w:p>
        </w:tc>
        <w:tc>
          <w:tcPr>
            <w:tcW w:w="4950" w:type="dxa"/>
          </w:tcPr>
          <w:p w14:paraId="4558CEB5" w14:textId="77777777" w:rsidR="0040711A" w:rsidRPr="008B7212" w:rsidRDefault="0040711A" w:rsidP="0040711A">
            <w:pPr>
              <w:numPr>
                <w:ilvl w:val="0"/>
                <w:numId w:val="7"/>
              </w:numPr>
              <w:contextualSpacing/>
              <w:rPr>
                <w:rFonts w:ascii="Times New Roman" w:eastAsia="Calibri" w:hAnsi="Times New Roman" w:cs="Times New Roman"/>
                <w:sz w:val="24"/>
                <w:szCs w:val="24"/>
              </w:rPr>
            </w:pPr>
            <w:r w:rsidRPr="008B7212">
              <w:rPr>
                <w:rFonts w:ascii="Times New Roman" w:eastAsia="Calibri" w:hAnsi="Times New Roman" w:cs="Times New Roman"/>
                <w:sz w:val="24"/>
                <w:szCs w:val="24"/>
              </w:rPr>
              <w:t>Number of hours engaged in system mapping</w:t>
            </w:r>
          </w:p>
          <w:p w14:paraId="7AFED941" w14:textId="77777777" w:rsidR="0040711A" w:rsidRPr="008B7212" w:rsidRDefault="0040711A" w:rsidP="0040711A">
            <w:pPr>
              <w:numPr>
                <w:ilvl w:val="0"/>
                <w:numId w:val="7"/>
              </w:numPr>
              <w:contextualSpacing/>
              <w:rPr>
                <w:rFonts w:ascii="Times New Roman" w:eastAsia="Calibri" w:hAnsi="Times New Roman" w:cs="Times New Roman"/>
                <w:sz w:val="24"/>
                <w:szCs w:val="24"/>
              </w:rPr>
            </w:pPr>
            <w:r w:rsidRPr="008B7212">
              <w:rPr>
                <w:rFonts w:ascii="Times New Roman" w:eastAsia="Calibri" w:hAnsi="Times New Roman" w:cs="Times New Roman"/>
                <w:sz w:val="24"/>
                <w:szCs w:val="24"/>
              </w:rPr>
              <w:t>Number of stakeholder surveys / interviews</w:t>
            </w:r>
          </w:p>
        </w:tc>
      </w:tr>
      <w:tr w:rsidR="0040711A" w:rsidRPr="0040711A" w14:paraId="0BDF8B9A" w14:textId="77777777" w:rsidTr="0040711A">
        <w:tc>
          <w:tcPr>
            <w:tcW w:w="4495" w:type="dxa"/>
          </w:tcPr>
          <w:p w14:paraId="730C1F2F" w14:textId="77777777" w:rsidR="0040711A" w:rsidRPr="008B7212" w:rsidRDefault="0040711A" w:rsidP="00BB77FB">
            <w:pPr>
              <w:rPr>
                <w:rFonts w:ascii="Times New Roman" w:eastAsia="Calibri" w:hAnsi="Times New Roman" w:cs="Times New Roman"/>
                <w:sz w:val="24"/>
                <w:szCs w:val="24"/>
              </w:rPr>
            </w:pPr>
            <w:r w:rsidRPr="008B7212">
              <w:rPr>
                <w:rFonts w:ascii="Times New Roman" w:eastAsia="Calibri" w:hAnsi="Times New Roman" w:cs="Times New Roman"/>
                <w:sz w:val="24"/>
                <w:szCs w:val="24"/>
              </w:rPr>
              <w:t>Perform site visits to learn about other jurisdictions’ use of alternatives to incarceration</w:t>
            </w:r>
          </w:p>
        </w:tc>
        <w:tc>
          <w:tcPr>
            <w:tcW w:w="4950" w:type="dxa"/>
          </w:tcPr>
          <w:p w14:paraId="33155399" w14:textId="77777777" w:rsidR="0040711A" w:rsidRPr="008B7212" w:rsidRDefault="0040711A" w:rsidP="0040711A">
            <w:pPr>
              <w:numPr>
                <w:ilvl w:val="0"/>
                <w:numId w:val="7"/>
              </w:numPr>
              <w:contextualSpacing/>
              <w:rPr>
                <w:rFonts w:ascii="Times New Roman" w:eastAsia="Calibri" w:hAnsi="Times New Roman" w:cs="Times New Roman"/>
                <w:sz w:val="24"/>
                <w:szCs w:val="24"/>
              </w:rPr>
            </w:pPr>
            <w:r w:rsidRPr="008B7212">
              <w:rPr>
                <w:rFonts w:ascii="Times New Roman" w:eastAsia="Calibri" w:hAnsi="Times New Roman" w:cs="Times New Roman"/>
                <w:sz w:val="24"/>
                <w:szCs w:val="24"/>
              </w:rPr>
              <w:t>Number of site visits conducted</w:t>
            </w:r>
          </w:p>
          <w:p w14:paraId="5434E26E" w14:textId="77777777" w:rsidR="0040711A" w:rsidRPr="008B7212" w:rsidRDefault="0040711A" w:rsidP="0040711A">
            <w:pPr>
              <w:numPr>
                <w:ilvl w:val="0"/>
                <w:numId w:val="7"/>
              </w:numPr>
              <w:contextualSpacing/>
              <w:rPr>
                <w:rFonts w:ascii="Times New Roman" w:eastAsia="Calibri" w:hAnsi="Times New Roman" w:cs="Times New Roman"/>
                <w:sz w:val="24"/>
                <w:szCs w:val="24"/>
              </w:rPr>
            </w:pPr>
            <w:r w:rsidRPr="008B7212">
              <w:rPr>
                <w:rFonts w:ascii="Times New Roman" w:eastAsia="Calibri" w:hAnsi="Times New Roman" w:cs="Times New Roman"/>
                <w:sz w:val="24"/>
                <w:szCs w:val="24"/>
              </w:rPr>
              <w:t>Number of contacts made with other programs</w:t>
            </w:r>
          </w:p>
        </w:tc>
      </w:tr>
      <w:tr w:rsidR="0040711A" w:rsidRPr="0040711A" w14:paraId="6AF22DF5" w14:textId="77777777" w:rsidTr="0040711A">
        <w:tc>
          <w:tcPr>
            <w:tcW w:w="4495" w:type="dxa"/>
          </w:tcPr>
          <w:p w14:paraId="19FB4D2B" w14:textId="77777777" w:rsidR="0040711A" w:rsidRPr="008B7212" w:rsidRDefault="0040711A" w:rsidP="00BB77FB">
            <w:pPr>
              <w:rPr>
                <w:rFonts w:ascii="Times New Roman" w:eastAsia="Calibri" w:hAnsi="Times New Roman" w:cs="Times New Roman"/>
                <w:sz w:val="24"/>
                <w:szCs w:val="24"/>
              </w:rPr>
            </w:pPr>
            <w:r w:rsidRPr="008B7212">
              <w:rPr>
                <w:rFonts w:ascii="Times New Roman" w:eastAsia="Calibri" w:hAnsi="Times New Roman" w:cs="Times New Roman"/>
                <w:sz w:val="24"/>
                <w:szCs w:val="24"/>
              </w:rPr>
              <w:t>Attend ARI trainings and information-sharing events hosted by ICJIA</w:t>
            </w:r>
          </w:p>
        </w:tc>
        <w:tc>
          <w:tcPr>
            <w:tcW w:w="4950" w:type="dxa"/>
          </w:tcPr>
          <w:p w14:paraId="58CC2344" w14:textId="77777777" w:rsidR="0040711A" w:rsidRPr="008B7212" w:rsidRDefault="0040711A" w:rsidP="0040711A">
            <w:pPr>
              <w:numPr>
                <w:ilvl w:val="0"/>
                <w:numId w:val="7"/>
              </w:numPr>
              <w:contextualSpacing/>
              <w:rPr>
                <w:rFonts w:ascii="Times New Roman" w:eastAsia="Calibri" w:hAnsi="Times New Roman" w:cs="Times New Roman"/>
                <w:sz w:val="24"/>
                <w:szCs w:val="24"/>
              </w:rPr>
            </w:pPr>
            <w:r w:rsidRPr="008B7212">
              <w:rPr>
                <w:rFonts w:ascii="Times New Roman" w:eastAsia="Calibri" w:hAnsi="Times New Roman" w:cs="Times New Roman"/>
                <w:sz w:val="24"/>
                <w:szCs w:val="24"/>
              </w:rPr>
              <w:t>Number of ARI events attended</w:t>
            </w:r>
          </w:p>
          <w:p w14:paraId="2A71CDD5" w14:textId="77777777" w:rsidR="0040711A" w:rsidRPr="008B7212" w:rsidRDefault="0040711A" w:rsidP="0040711A">
            <w:pPr>
              <w:numPr>
                <w:ilvl w:val="0"/>
                <w:numId w:val="7"/>
              </w:numPr>
              <w:contextualSpacing/>
              <w:rPr>
                <w:rFonts w:ascii="Times New Roman" w:eastAsia="Calibri" w:hAnsi="Times New Roman" w:cs="Times New Roman"/>
                <w:sz w:val="24"/>
                <w:szCs w:val="24"/>
              </w:rPr>
            </w:pPr>
            <w:r w:rsidRPr="008B7212">
              <w:rPr>
                <w:rFonts w:ascii="Times New Roman" w:eastAsia="Calibri" w:hAnsi="Times New Roman" w:cs="Times New Roman"/>
                <w:sz w:val="24"/>
                <w:szCs w:val="24"/>
              </w:rPr>
              <w:t xml:space="preserve">Number of members in attendance </w:t>
            </w:r>
          </w:p>
        </w:tc>
      </w:tr>
      <w:tr w:rsidR="0040711A" w:rsidRPr="0040711A" w14:paraId="5A117D3C" w14:textId="77777777" w:rsidTr="0040711A">
        <w:tc>
          <w:tcPr>
            <w:tcW w:w="4495" w:type="dxa"/>
            <w:tcBorders>
              <w:top w:val="single" w:sz="4" w:space="0" w:color="auto"/>
              <w:left w:val="single" w:sz="4" w:space="0" w:color="auto"/>
              <w:bottom w:val="single" w:sz="4" w:space="0" w:color="auto"/>
              <w:right w:val="single" w:sz="4" w:space="0" w:color="auto"/>
            </w:tcBorders>
            <w:hideMark/>
          </w:tcPr>
          <w:p w14:paraId="67D9F814" w14:textId="77777777" w:rsidR="0040711A" w:rsidRPr="008B7212" w:rsidRDefault="0040711A" w:rsidP="00BB77FB">
            <w:pPr>
              <w:rPr>
                <w:rFonts w:ascii="Times New Roman" w:eastAsia="Calibri" w:hAnsi="Times New Roman" w:cs="Times New Roman"/>
                <w:sz w:val="24"/>
                <w:szCs w:val="24"/>
              </w:rPr>
            </w:pPr>
            <w:r w:rsidRPr="008B7212">
              <w:rPr>
                <w:rFonts w:ascii="Times New Roman" w:eastAsia="Calibri" w:hAnsi="Times New Roman" w:cs="Times New Roman"/>
                <w:sz w:val="24"/>
                <w:szCs w:val="24"/>
              </w:rPr>
              <w:t>Draft a plan by the end of the grant period with an implementation strategy and demonstrated stakeholder buy-in</w:t>
            </w:r>
          </w:p>
        </w:tc>
        <w:tc>
          <w:tcPr>
            <w:tcW w:w="4950" w:type="dxa"/>
            <w:tcBorders>
              <w:top w:val="single" w:sz="4" w:space="0" w:color="auto"/>
              <w:left w:val="single" w:sz="4" w:space="0" w:color="auto"/>
              <w:bottom w:val="single" w:sz="4" w:space="0" w:color="auto"/>
              <w:right w:val="single" w:sz="4" w:space="0" w:color="auto"/>
            </w:tcBorders>
            <w:hideMark/>
          </w:tcPr>
          <w:p w14:paraId="300EFCA5" w14:textId="77777777" w:rsidR="0040711A" w:rsidRPr="008B7212" w:rsidRDefault="0040711A" w:rsidP="0040711A">
            <w:pPr>
              <w:pStyle w:val="Default"/>
              <w:numPr>
                <w:ilvl w:val="0"/>
                <w:numId w:val="22"/>
              </w:numPr>
              <w:rPr>
                <w:rFonts w:ascii="Times New Roman" w:hAnsi="Times New Roman" w:cs="Times New Roman"/>
                <w:sz w:val="24"/>
                <w:szCs w:val="24"/>
              </w:rPr>
            </w:pPr>
            <w:r w:rsidRPr="008B7212">
              <w:rPr>
                <w:rFonts w:ascii="Times New Roman" w:hAnsi="Times New Roman" w:cs="Times New Roman"/>
                <w:sz w:val="24"/>
                <w:szCs w:val="24"/>
              </w:rPr>
              <w:t xml:space="preserve">Date of submission of plan that meets all ARI Oversight Board requirements </w:t>
            </w:r>
          </w:p>
          <w:p w14:paraId="49FF1690" w14:textId="77777777" w:rsidR="0040711A" w:rsidRPr="008B7212" w:rsidRDefault="0040711A" w:rsidP="0040711A">
            <w:pPr>
              <w:pStyle w:val="Default"/>
              <w:numPr>
                <w:ilvl w:val="0"/>
                <w:numId w:val="22"/>
              </w:numPr>
              <w:ind w:left="325" w:hanging="325"/>
              <w:rPr>
                <w:rFonts w:ascii="Times New Roman" w:hAnsi="Times New Roman" w:cs="Times New Roman"/>
                <w:sz w:val="24"/>
                <w:szCs w:val="24"/>
              </w:rPr>
            </w:pPr>
            <w:r w:rsidRPr="008B7212">
              <w:rPr>
                <w:rFonts w:ascii="Times New Roman" w:hAnsi="Times New Roman" w:cs="Times New Roman"/>
                <w:sz w:val="24"/>
                <w:szCs w:val="24"/>
              </w:rPr>
              <w:t>Number of letters of support</w:t>
            </w:r>
          </w:p>
        </w:tc>
      </w:tr>
      <w:tr w:rsidR="0040711A" w:rsidRPr="0040711A" w14:paraId="1D1F3EAC" w14:textId="77777777" w:rsidTr="0040711A">
        <w:tc>
          <w:tcPr>
            <w:tcW w:w="44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485A" w14:textId="77777777" w:rsidR="0040711A" w:rsidRPr="008B7212" w:rsidRDefault="0040711A" w:rsidP="00BB77FB">
            <w:pPr>
              <w:rPr>
                <w:rFonts w:ascii="Times New Roman" w:eastAsia="Calibri" w:hAnsi="Times New Roman" w:cs="Times New Roman"/>
                <w:b/>
                <w:sz w:val="24"/>
                <w:szCs w:val="24"/>
              </w:rPr>
            </w:pPr>
            <w:r w:rsidRPr="008B7212">
              <w:rPr>
                <w:rFonts w:ascii="Times New Roman" w:eastAsia="Calibri" w:hAnsi="Times New Roman" w:cs="Times New Roman"/>
                <w:b/>
                <w:sz w:val="24"/>
                <w:szCs w:val="24"/>
              </w:rPr>
              <w:t>Outcome Objectives</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2A9192" w14:textId="77777777" w:rsidR="0040711A" w:rsidRPr="008B7212" w:rsidRDefault="0040711A" w:rsidP="00BB77FB">
            <w:pPr>
              <w:rPr>
                <w:rFonts w:ascii="Times New Roman" w:eastAsia="Calibri" w:hAnsi="Times New Roman" w:cs="Times New Roman"/>
                <w:b/>
                <w:sz w:val="24"/>
                <w:szCs w:val="24"/>
              </w:rPr>
            </w:pPr>
            <w:r w:rsidRPr="008B7212">
              <w:rPr>
                <w:rFonts w:ascii="Times New Roman" w:eastAsia="Calibri" w:hAnsi="Times New Roman" w:cs="Times New Roman"/>
                <w:b/>
                <w:sz w:val="24"/>
                <w:szCs w:val="24"/>
              </w:rPr>
              <w:t>Performance Measures</w:t>
            </w:r>
          </w:p>
        </w:tc>
      </w:tr>
      <w:tr w:rsidR="0040711A" w:rsidRPr="0040711A" w14:paraId="0570BB7A" w14:textId="77777777" w:rsidTr="0040711A">
        <w:tc>
          <w:tcPr>
            <w:tcW w:w="4495" w:type="dxa"/>
            <w:tcBorders>
              <w:top w:val="single" w:sz="4" w:space="0" w:color="auto"/>
              <w:left w:val="single" w:sz="4" w:space="0" w:color="auto"/>
              <w:bottom w:val="single" w:sz="4" w:space="0" w:color="auto"/>
              <w:right w:val="single" w:sz="4" w:space="0" w:color="auto"/>
            </w:tcBorders>
            <w:shd w:val="clear" w:color="auto" w:fill="auto"/>
          </w:tcPr>
          <w:p w14:paraId="52B3FB8A" w14:textId="476DE1EB" w:rsidR="0040711A" w:rsidRPr="008B7212" w:rsidRDefault="0040711A" w:rsidP="00BB77FB">
            <w:pPr>
              <w:rPr>
                <w:rFonts w:ascii="Times New Roman" w:eastAsia="Calibri" w:hAnsi="Times New Roman" w:cs="Times New Roman"/>
                <w:sz w:val="24"/>
                <w:szCs w:val="24"/>
              </w:rPr>
            </w:pPr>
            <w:r w:rsidRPr="008B7212">
              <w:rPr>
                <w:rFonts w:ascii="Times New Roman" w:eastAsia="Calibri" w:hAnsi="Times New Roman" w:cs="Times New Roman"/>
                <w:sz w:val="24"/>
                <w:szCs w:val="24"/>
              </w:rPr>
              <w:t>Determine if an ARI program will be implemented, and how</w:t>
            </w:r>
          </w:p>
        </w:tc>
        <w:tc>
          <w:tcPr>
            <w:tcW w:w="4950" w:type="dxa"/>
            <w:tcBorders>
              <w:top w:val="single" w:sz="4" w:space="0" w:color="auto"/>
              <w:left w:val="single" w:sz="4" w:space="0" w:color="auto"/>
              <w:bottom w:val="single" w:sz="4" w:space="0" w:color="auto"/>
              <w:right w:val="single" w:sz="4" w:space="0" w:color="auto"/>
            </w:tcBorders>
            <w:shd w:val="clear" w:color="auto" w:fill="auto"/>
          </w:tcPr>
          <w:p w14:paraId="5DC5B9AB" w14:textId="77777777" w:rsidR="0040711A" w:rsidRPr="008B7212" w:rsidRDefault="0040711A" w:rsidP="0040711A">
            <w:pPr>
              <w:pStyle w:val="ListParagraph"/>
              <w:numPr>
                <w:ilvl w:val="0"/>
                <w:numId w:val="6"/>
              </w:numPr>
              <w:rPr>
                <w:rFonts w:ascii="Times New Roman" w:eastAsia="Calibri" w:hAnsi="Times New Roman" w:cs="Times New Roman"/>
                <w:sz w:val="24"/>
                <w:szCs w:val="24"/>
              </w:rPr>
            </w:pPr>
            <w:r w:rsidRPr="008B7212">
              <w:rPr>
                <w:rFonts w:ascii="Times New Roman" w:eastAsia="Calibri" w:hAnsi="Times New Roman" w:cs="Times New Roman"/>
                <w:sz w:val="24"/>
                <w:szCs w:val="24"/>
              </w:rPr>
              <w:t>Submission of detailed local implementation plan, for ARI Oversight Board approval</w:t>
            </w:r>
          </w:p>
        </w:tc>
      </w:tr>
      <w:bookmarkEnd w:id="2"/>
    </w:tbl>
    <w:p w14:paraId="71A0EADB" w14:textId="69664D36" w:rsidR="00A31C4D" w:rsidRDefault="00A31C4D" w:rsidP="007637A1">
      <w:pPr>
        <w:pStyle w:val="Default"/>
        <w:rPr>
          <w:rFonts w:ascii="Times New Roman" w:hAnsi="Times New Roman" w:cs="Times New Roman"/>
        </w:rPr>
      </w:pPr>
    </w:p>
    <w:p w14:paraId="4864BA60" w14:textId="5FC11A11" w:rsidR="00E812B2" w:rsidRPr="00E93CE7" w:rsidRDefault="00E812B2" w:rsidP="00E812B2">
      <w:pPr>
        <w:pStyle w:val="Default"/>
        <w:rPr>
          <w:rFonts w:ascii="Times New Roman" w:hAnsi="Times New Roman" w:cs="Times New Roman"/>
        </w:rPr>
      </w:pPr>
      <w:r w:rsidRPr="00E812B2">
        <w:rPr>
          <w:rFonts w:ascii="Times New Roman" w:hAnsi="Times New Roman" w:cs="Times New Roman"/>
          <w:u w:val="single"/>
        </w:rPr>
        <w:t>Required reports</w:t>
      </w:r>
      <w:r w:rsidRPr="00E93CE7">
        <w:rPr>
          <w:rFonts w:ascii="Times New Roman" w:hAnsi="Times New Roman" w:cs="Times New Roman"/>
        </w:rPr>
        <w:t xml:space="preserve">. Recipients must submit </w:t>
      </w:r>
      <w:r w:rsidR="00A55A17">
        <w:rPr>
          <w:rFonts w:ascii="Times New Roman" w:hAnsi="Times New Roman" w:cs="Times New Roman"/>
        </w:rPr>
        <w:t>periodic fiscal reports</w:t>
      </w:r>
      <w:r w:rsidRPr="00E93CE7">
        <w:rPr>
          <w:rFonts w:ascii="Times New Roman" w:hAnsi="Times New Roman" w:cs="Times New Roman"/>
        </w:rPr>
        <w:t xml:space="preserve">, quarterly progress reports, final financial and final progress reports, and, if applicable, an annual audit report in accordance with the Part 200 Uniform Requirements or specific award conditions. Future awards and fund drawdowns may be withheld if reports are delinquent. (In appropriate cases, ICJIA may require additional reports.) </w:t>
      </w:r>
    </w:p>
    <w:p w14:paraId="5B4EE2F1" w14:textId="77777777" w:rsidR="00E812B2" w:rsidRDefault="00E812B2" w:rsidP="00E812B2">
      <w:pPr>
        <w:pStyle w:val="Default"/>
        <w:rPr>
          <w:rFonts w:ascii="Times New Roman" w:hAnsi="Times New Roman" w:cs="Times New Roman"/>
        </w:rPr>
      </w:pPr>
    </w:p>
    <w:p w14:paraId="7952FE4C" w14:textId="406FA62F" w:rsidR="00F808E9" w:rsidRPr="00017495" w:rsidRDefault="00AC2A95" w:rsidP="001455B2">
      <w:pPr>
        <w:ind w:left="0"/>
        <w:contextualSpacing/>
        <w:rPr>
          <w:b/>
          <w:sz w:val="28"/>
          <w:szCs w:val="28"/>
        </w:rPr>
      </w:pPr>
      <w:r>
        <w:rPr>
          <w:b/>
          <w:sz w:val="28"/>
          <w:szCs w:val="28"/>
        </w:rPr>
        <w:t>E</w:t>
      </w:r>
      <w:r w:rsidR="001B7D25" w:rsidRPr="00017495">
        <w:rPr>
          <w:b/>
          <w:sz w:val="28"/>
          <w:szCs w:val="28"/>
        </w:rPr>
        <w:t xml:space="preserve">. </w:t>
      </w:r>
      <w:r w:rsidR="006D2857" w:rsidRPr="00017495">
        <w:rPr>
          <w:b/>
          <w:sz w:val="28"/>
          <w:szCs w:val="28"/>
        </w:rPr>
        <w:t>Funding Information</w:t>
      </w:r>
    </w:p>
    <w:p w14:paraId="448FD42E" w14:textId="77777777" w:rsidR="0038685E" w:rsidRPr="00017495" w:rsidRDefault="0038685E" w:rsidP="00C03701">
      <w:pPr>
        <w:ind w:left="0"/>
      </w:pPr>
    </w:p>
    <w:p w14:paraId="03235E00" w14:textId="77777777" w:rsidR="00D74FB2" w:rsidRDefault="00D74FB2" w:rsidP="00C03701">
      <w:pPr>
        <w:pStyle w:val="ListParagraph"/>
        <w:tabs>
          <w:tab w:val="left" w:pos="360"/>
        </w:tabs>
        <w:ind w:left="0"/>
        <w:rPr>
          <w:b/>
          <w:i/>
          <w:iCs/>
          <w:color w:val="auto"/>
        </w:rPr>
      </w:pPr>
    </w:p>
    <w:p w14:paraId="1994D751" w14:textId="78A23DA2" w:rsidR="00620300" w:rsidRPr="00F2334A" w:rsidRDefault="00620300" w:rsidP="00C03701">
      <w:pPr>
        <w:pStyle w:val="ListParagraph"/>
        <w:tabs>
          <w:tab w:val="left" w:pos="360"/>
        </w:tabs>
        <w:ind w:left="0"/>
        <w:rPr>
          <w:b/>
          <w:i/>
          <w:iCs/>
          <w:color w:val="auto"/>
        </w:rPr>
      </w:pPr>
      <w:r w:rsidRPr="00F2334A">
        <w:rPr>
          <w:b/>
          <w:i/>
          <w:iCs/>
          <w:color w:val="auto"/>
        </w:rPr>
        <w:lastRenderedPageBreak/>
        <w:t>Award period</w:t>
      </w:r>
    </w:p>
    <w:p w14:paraId="3936B65F" w14:textId="28E63E8E" w:rsidR="00F463E5" w:rsidRDefault="00872582" w:rsidP="00C03701">
      <w:pPr>
        <w:ind w:left="0"/>
        <w:rPr>
          <w:b/>
          <w:i/>
          <w:iCs/>
          <w:color w:val="auto"/>
        </w:rPr>
      </w:pPr>
      <w:r>
        <w:rPr>
          <w:b/>
          <w:i/>
          <w:iCs/>
          <w:color w:val="auto"/>
        </w:rPr>
        <w:t xml:space="preserve"> </w:t>
      </w:r>
    </w:p>
    <w:p w14:paraId="23FA9B5D" w14:textId="77777777" w:rsidR="00872582" w:rsidRPr="00017495" w:rsidRDefault="00872582" w:rsidP="00C03701">
      <w:pPr>
        <w:ind w:left="0"/>
        <w:rPr>
          <w:b/>
          <w:i/>
          <w:iCs/>
          <w:color w:val="auto"/>
        </w:rPr>
      </w:pPr>
    </w:p>
    <w:p w14:paraId="5771AA46" w14:textId="1D2B40E0" w:rsidR="009C1ADE" w:rsidRDefault="00A80A2F" w:rsidP="00C03701">
      <w:pPr>
        <w:pStyle w:val="ListParagraph"/>
        <w:ind w:left="0"/>
        <w:rPr>
          <w:color w:val="auto"/>
        </w:rPr>
      </w:pPr>
      <w:r w:rsidRPr="00017495">
        <w:rPr>
          <w:color w:val="auto"/>
        </w:rPr>
        <w:t xml:space="preserve">Grant awards resulting from this opportunity will have a target period of performance of </w:t>
      </w:r>
      <w:r w:rsidR="00514195">
        <w:rPr>
          <w:color w:val="auto"/>
        </w:rPr>
        <w:t xml:space="preserve">January </w:t>
      </w:r>
      <w:r w:rsidRPr="00017495">
        <w:rPr>
          <w:color w:val="auto"/>
        </w:rPr>
        <w:t>1, 201</w:t>
      </w:r>
      <w:r w:rsidR="00514195">
        <w:rPr>
          <w:color w:val="auto"/>
        </w:rPr>
        <w:t>9</w:t>
      </w:r>
      <w:r w:rsidR="00FA5EDC">
        <w:rPr>
          <w:color w:val="auto"/>
        </w:rPr>
        <w:t>,</w:t>
      </w:r>
      <w:r w:rsidRPr="00017495">
        <w:rPr>
          <w:color w:val="auto"/>
        </w:rPr>
        <w:t xml:space="preserve"> to June 30, 201</w:t>
      </w:r>
      <w:r>
        <w:rPr>
          <w:color w:val="auto"/>
        </w:rPr>
        <w:t>9</w:t>
      </w:r>
      <w:r w:rsidRPr="00017495">
        <w:rPr>
          <w:color w:val="auto"/>
        </w:rPr>
        <w:t xml:space="preserve">. </w:t>
      </w:r>
      <w:r w:rsidR="00F32831">
        <w:rPr>
          <w:color w:val="auto"/>
        </w:rPr>
        <w:t xml:space="preserve">No costs incurred before the start date of an agreement may be charged to the grant. </w:t>
      </w:r>
      <w:bookmarkStart w:id="3" w:name="_Hlk525805759"/>
      <w:r w:rsidR="00C90310">
        <w:rPr>
          <w:color w:val="auto"/>
        </w:rPr>
        <w:t xml:space="preserve">ICJIA </w:t>
      </w:r>
      <w:r w:rsidR="006D1BEC">
        <w:rPr>
          <w:color w:val="auto"/>
        </w:rPr>
        <w:t xml:space="preserve">staff </w:t>
      </w:r>
      <w:r w:rsidR="00C2567D">
        <w:rPr>
          <w:color w:val="auto"/>
        </w:rPr>
        <w:t>and</w:t>
      </w:r>
      <w:r w:rsidR="006D1BEC">
        <w:rPr>
          <w:color w:val="auto"/>
        </w:rPr>
        <w:t xml:space="preserve"> </w:t>
      </w:r>
      <w:r w:rsidR="00C90310">
        <w:rPr>
          <w:color w:val="auto"/>
        </w:rPr>
        <w:t xml:space="preserve">the </w:t>
      </w:r>
      <w:r w:rsidR="006D1BEC">
        <w:rPr>
          <w:color w:val="auto"/>
        </w:rPr>
        <w:t>ARI</w:t>
      </w:r>
      <w:r w:rsidR="004340C0">
        <w:rPr>
          <w:color w:val="auto"/>
        </w:rPr>
        <w:t xml:space="preserve"> </w:t>
      </w:r>
      <w:r w:rsidR="006D1BEC">
        <w:rPr>
          <w:color w:val="auto"/>
        </w:rPr>
        <w:t>O</w:t>
      </w:r>
      <w:r w:rsidR="004340C0">
        <w:rPr>
          <w:color w:val="auto"/>
        </w:rPr>
        <w:t xml:space="preserve">versight </w:t>
      </w:r>
      <w:r w:rsidR="006D1BEC">
        <w:rPr>
          <w:color w:val="auto"/>
        </w:rPr>
        <w:t>B</w:t>
      </w:r>
      <w:r w:rsidR="004340C0">
        <w:rPr>
          <w:color w:val="auto"/>
        </w:rPr>
        <w:t>oard</w:t>
      </w:r>
      <w:r w:rsidR="006D1BEC">
        <w:rPr>
          <w:color w:val="auto"/>
        </w:rPr>
        <w:t xml:space="preserve"> </w:t>
      </w:r>
      <w:r w:rsidR="001E37CB">
        <w:rPr>
          <w:color w:val="auto"/>
        </w:rPr>
        <w:t xml:space="preserve">must approve </w:t>
      </w:r>
      <w:r w:rsidR="00B9301D">
        <w:rPr>
          <w:color w:val="auto"/>
        </w:rPr>
        <w:t>any resulting local</w:t>
      </w:r>
      <w:r w:rsidR="00C2567D">
        <w:rPr>
          <w:color w:val="auto"/>
        </w:rPr>
        <w:t xml:space="preserve"> plan</w:t>
      </w:r>
      <w:r w:rsidR="00B9301D">
        <w:rPr>
          <w:color w:val="auto"/>
        </w:rPr>
        <w:t>(s)</w:t>
      </w:r>
      <w:r w:rsidR="00F400BA">
        <w:rPr>
          <w:color w:val="auto"/>
        </w:rPr>
        <w:t xml:space="preserve"> prior </w:t>
      </w:r>
      <w:r w:rsidR="00C90ECF">
        <w:rPr>
          <w:color w:val="auto"/>
        </w:rPr>
        <w:t>to implementation</w:t>
      </w:r>
      <w:r w:rsidR="00F400BA">
        <w:rPr>
          <w:color w:val="auto"/>
        </w:rPr>
        <w:t>.</w:t>
      </w:r>
      <w:bookmarkEnd w:id="3"/>
      <w:r w:rsidR="009C1ADE">
        <w:rPr>
          <w:color w:val="auto"/>
        </w:rPr>
        <w:t xml:space="preserve"> </w:t>
      </w:r>
      <w:r w:rsidR="00C2567D">
        <w:rPr>
          <w:color w:val="auto"/>
        </w:rPr>
        <w:t>T</w:t>
      </w:r>
      <w:r w:rsidR="006A10CC">
        <w:rPr>
          <w:color w:val="auto"/>
        </w:rPr>
        <w:t>o allow for this review and approval, t</w:t>
      </w:r>
      <w:r w:rsidR="00C2567D">
        <w:rPr>
          <w:color w:val="auto"/>
        </w:rPr>
        <w:t>he local plan</w:t>
      </w:r>
      <w:r w:rsidR="00B9301D">
        <w:rPr>
          <w:color w:val="auto"/>
        </w:rPr>
        <w:t>s</w:t>
      </w:r>
      <w:r w:rsidR="00C2567D">
        <w:rPr>
          <w:color w:val="auto"/>
        </w:rPr>
        <w:t xml:space="preserve"> will be due no later than July 15, 2019.</w:t>
      </w:r>
    </w:p>
    <w:p w14:paraId="4BA5D582" w14:textId="77777777" w:rsidR="00CF7611" w:rsidRDefault="00CF7611" w:rsidP="00C03701">
      <w:pPr>
        <w:pStyle w:val="ListParagraph"/>
        <w:ind w:left="0"/>
        <w:rPr>
          <w:color w:val="auto"/>
        </w:rPr>
      </w:pPr>
    </w:p>
    <w:p w14:paraId="2679174F" w14:textId="4F5FCA4F" w:rsidR="00CF7611" w:rsidRDefault="00CF7611" w:rsidP="00C03701">
      <w:pPr>
        <w:pStyle w:val="ListParagraph"/>
        <w:ind w:left="0"/>
        <w:rPr>
          <w:color w:val="auto"/>
        </w:rPr>
      </w:pPr>
      <w:r>
        <w:rPr>
          <w:color w:val="auto"/>
        </w:rPr>
        <w:t xml:space="preserve">Below is a </w:t>
      </w:r>
      <w:r w:rsidR="00C90ECF">
        <w:rPr>
          <w:color w:val="auto"/>
        </w:rPr>
        <w:t xml:space="preserve">proposed </w:t>
      </w:r>
      <w:r>
        <w:rPr>
          <w:color w:val="auto"/>
        </w:rPr>
        <w:t>schedule for</w:t>
      </w:r>
      <w:r w:rsidR="00C90ECF">
        <w:rPr>
          <w:color w:val="auto"/>
        </w:rPr>
        <w:t xml:space="preserve"> the development and</w:t>
      </w:r>
      <w:r>
        <w:rPr>
          <w:color w:val="auto"/>
        </w:rPr>
        <w:t xml:space="preserve"> implementation of </w:t>
      </w:r>
      <w:r w:rsidR="00C90ECF">
        <w:rPr>
          <w:color w:val="auto"/>
        </w:rPr>
        <w:t>a local plan for ARI</w:t>
      </w:r>
      <w:r>
        <w:rPr>
          <w:color w:val="auto"/>
        </w:rPr>
        <w:t xml:space="preserve">. </w:t>
      </w:r>
      <w:r w:rsidR="008B4F3F">
        <w:rPr>
          <w:color w:val="auto"/>
        </w:rPr>
        <w:t>Continuation of f</w:t>
      </w:r>
      <w:r>
        <w:rPr>
          <w:color w:val="auto"/>
        </w:rPr>
        <w:t xml:space="preserve">unding </w:t>
      </w:r>
      <w:r w:rsidR="0034349A">
        <w:rPr>
          <w:color w:val="auto"/>
        </w:rPr>
        <w:t xml:space="preserve">for plan implementation </w:t>
      </w:r>
      <w:r w:rsidR="008B4F3F">
        <w:rPr>
          <w:color w:val="auto"/>
        </w:rPr>
        <w:t xml:space="preserve">is contingent on </w:t>
      </w:r>
      <w:r w:rsidR="008B4F3F">
        <w:t>satisfactory project performance, ICJIA and ARI Oversight Board approval, availability of funding, and term limitations imposed pursuant to GATA.</w:t>
      </w:r>
    </w:p>
    <w:p w14:paraId="0680C9B6" w14:textId="3386F4BA" w:rsidR="00124173" w:rsidRPr="00C90ECF" w:rsidRDefault="00124173" w:rsidP="00C03701">
      <w:pPr>
        <w:pStyle w:val="ListParagraph"/>
        <w:ind w:left="0"/>
        <w:rPr>
          <w:color w:val="auto"/>
        </w:rPr>
      </w:pPr>
    </w:p>
    <w:tbl>
      <w:tblPr>
        <w:tblStyle w:val="TableGrid"/>
        <w:tblW w:w="0" w:type="auto"/>
        <w:jc w:val="center"/>
        <w:tblLook w:val="04A0" w:firstRow="1" w:lastRow="0" w:firstColumn="1" w:lastColumn="0" w:noHBand="0" w:noVBand="1"/>
      </w:tblPr>
      <w:tblGrid>
        <w:gridCol w:w="4135"/>
        <w:gridCol w:w="3870"/>
      </w:tblGrid>
      <w:tr w:rsidR="00124173" w:rsidRPr="00C90ECF" w14:paraId="04C7BD56" w14:textId="77777777" w:rsidTr="00DF64FC">
        <w:trPr>
          <w:jc w:val="center"/>
        </w:trPr>
        <w:tc>
          <w:tcPr>
            <w:tcW w:w="4135" w:type="dxa"/>
            <w:shd w:val="clear" w:color="auto" w:fill="D9D9D9" w:themeFill="background1" w:themeFillShade="D9"/>
          </w:tcPr>
          <w:p w14:paraId="6A8E36BC" w14:textId="457BF1F7" w:rsidR="00124173" w:rsidRPr="004B0C52" w:rsidRDefault="00124173" w:rsidP="00C03701">
            <w:pPr>
              <w:pStyle w:val="ListParagraph"/>
              <w:rPr>
                <w:rFonts w:ascii="Times New Roman" w:hAnsi="Times New Roman" w:cs="Times New Roman"/>
                <w:b/>
                <w:sz w:val="24"/>
                <w:szCs w:val="24"/>
              </w:rPr>
            </w:pPr>
            <w:r w:rsidRPr="004B0C52">
              <w:rPr>
                <w:rFonts w:ascii="Times New Roman" w:hAnsi="Times New Roman" w:cs="Times New Roman"/>
                <w:b/>
                <w:sz w:val="24"/>
                <w:szCs w:val="24"/>
              </w:rPr>
              <w:t>Performance Phase</w:t>
            </w:r>
          </w:p>
        </w:tc>
        <w:tc>
          <w:tcPr>
            <w:tcW w:w="3870" w:type="dxa"/>
            <w:shd w:val="clear" w:color="auto" w:fill="D9D9D9" w:themeFill="background1" w:themeFillShade="D9"/>
          </w:tcPr>
          <w:p w14:paraId="6CD6BAC3" w14:textId="63A028EB" w:rsidR="00124173" w:rsidRPr="004B0C52" w:rsidRDefault="00124173" w:rsidP="00C03701">
            <w:pPr>
              <w:pStyle w:val="ListParagraph"/>
              <w:rPr>
                <w:rFonts w:ascii="Times New Roman" w:hAnsi="Times New Roman" w:cs="Times New Roman"/>
                <w:b/>
                <w:sz w:val="24"/>
                <w:szCs w:val="24"/>
              </w:rPr>
            </w:pPr>
            <w:r w:rsidRPr="004B0C52">
              <w:rPr>
                <w:rFonts w:ascii="Times New Roman" w:hAnsi="Times New Roman" w:cs="Times New Roman"/>
                <w:b/>
                <w:sz w:val="24"/>
                <w:szCs w:val="24"/>
              </w:rPr>
              <w:t xml:space="preserve">Performance Period </w:t>
            </w:r>
          </w:p>
        </w:tc>
      </w:tr>
      <w:tr w:rsidR="00124173" w:rsidRPr="00C90ECF" w14:paraId="073875DD" w14:textId="77777777" w:rsidTr="00DF64FC">
        <w:trPr>
          <w:jc w:val="center"/>
        </w:trPr>
        <w:tc>
          <w:tcPr>
            <w:tcW w:w="4135" w:type="dxa"/>
          </w:tcPr>
          <w:p w14:paraId="7DB72E55" w14:textId="7FA1C288" w:rsidR="00124173" w:rsidRPr="004B0C52" w:rsidRDefault="00124173" w:rsidP="00C90ECF">
            <w:pPr>
              <w:pStyle w:val="ListParagraph"/>
              <w:rPr>
                <w:rFonts w:ascii="Times New Roman" w:hAnsi="Times New Roman" w:cs="Times New Roman"/>
                <w:sz w:val="24"/>
                <w:szCs w:val="24"/>
              </w:rPr>
            </w:pPr>
            <w:r w:rsidRPr="004B0C52">
              <w:rPr>
                <w:rFonts w:ascii="Times New Roman" w:hAnsi="Times New Roman" w:cs="Times New Roman"/>
                <w:sz w:val="24"/>
                <w:szCs w:val="24"/>
              </w:rPr>
              <w:t xml:space="preserve">Planning Period (6 months) </w:t>
            </w:r>
          </w:p>
        </w:tc>
        <w:tc>
          <w:tcPr>
            <w:tcW w:w="3870" w:type="dxa"/>
          </w:tcPr>
          <w:p w14:paraId="77796584" w14:textId="0AA10C9F" w:rsidR="00124173" w:rsidRPr="004B0C52" w:rsidRDefault="00124173" w:rsidP="00C03701">
            <w:pPr>
              <w:pStyle w:val="ListParagraph"/>
              <w:rPr>
                <w:rFonts w:ascii="Times New Roman" w:hAnsi="Times New Roman" w:cs="Times New Roman"/>
                <w:sz w:val="24"/>
                <w:szCs w:val="24"/>
              </w:rPr>
            </w:pPr>
            <w:r w:rsidRPr="004B0C52">
              <w:rPr>
                <w:rFonts w:ascii="Times New Roman" w:hAnsi="Times New Roman" w:cs="Times New Roman"/>
                <w:sz w:val="24"/>
                <w:szCs w:val="24"/>
              </w:rPr>
              <w:t>January 1, 2019 – June 30, 2019</w:t>
            </w:r>
          </w:p>
        </w:tc>
      </w:tr>
      <w:tr w:rsidR="00124173" w:rsidRPr="00C90ECF" w14:paraId="320F7A5A" w14:textId="77777777" w:rsidTr="00DF64FC">
        <w:trPr>
          <w:jc w:val="center"/>
        </w:trPr>
        <w:tc>
          <w:tcPr>
            <w:tcW w:w="4135" w:type="dxa"/>
          </w:tcPr>
          <w:p w14:paraId="1C0E4AF9" w14:textId="7BB0E918" w:rsidR="00124173" w:rsidRPr="004B0C52" w:rsidRDefault="00124173" w:rsidP="00C90ECF">
            <w:pPr>
              <w:pStyle w:val="ListParagraph"/>
              <w:rPr>
                <w:rFonts w:ascii="Times New Roman" w:hAnsi="Times New Roman" w:cs="Times New Roman"/>
                <w:sz w:val="24"/>
                <w:szCs w:val="24"/>
              </w:rPr>
            </w:pPr>
            <w:r w:rsidRPr="004B0C52">
              <w:rPr>
                <w:rFonts w:ascii="Times New Roman" w:hAnsi="Times New Roman" w:cs="Times New Roman"/>
                <w:sz w:val="24"/>
                <w:szCs w:val="24"/>
              </w:rPr>
              <w:t>Initial Implementation (9</w:t>
            </w:r>
            <w:r w:rsidR="00C90ECF" w:rsidRPr="004B0C52">
              <w:rPr>
                <w:rFonts w:ascii="Times New Roman" w:hAnsi="Times New Roman" w:cs="Times New Roman"/>
                <w:sz w:val="24"/>
                <w:szCs w:val="24"/>
              </w:rPr>
              <w:t xml:space="preserve"> </w:t>
            </w:r>
            <w:r w:rsidRPr="004B0C52">
              <w:rPr>
                <w:rFonts w:ascii="Times New Roman" w:hAnsi="Times New Roman" w:cs="Times New Roman"/>
                <w:sz w:val="24"/>
                <w:szCs w:val="24"/>
              </w:rPr>
              <w:t>months)</w:t>
            </w:r>
          </w:p>
        </w:tc>
        <w:tc>
          <w:tcPr>
            <w:tcW w:w="3870" w:type="dxa"/>
          </w:tcPr>
          <w:p w14:paraId="6B5EE1F6" w14:textId="4A4C781D" w:rsidR="00124173" w:rsidRPr="004B0C52" w:rsidRDefault="00124173" w:rsidP="00C03701">
            <w:pPr>
              <w:pStyle w:val="ListParagraph"/>
              <w:rPr>
                <w:rFonts w:ascii="Times New Roman" w:hAnsi="Times New Roman" w:cs="Times New Roman"/>
                <w:sz w:val="24"/>
                <w:szCs w:val="24"/>
              </w:rPr>
            </w:pPr>
            <w:r w:rsidRPr="004B0C52">
              <w:rPr>
                <w:rFonts w:ascii="Times New Roman" w:hAnsi="Times New Roman" w:cs="Times New Roman"/>
                <w:sz w:val="24"/>
                <w:szCs w:val="24"/>
              </w:rPr>
              <w:t>October 1, 2019 – June 30, 2020</w:t>
            </w:r>
          </w:p>
        </w:tc>
      </w:tr>
      <w:tr w:rsidR="00124173" w:rsidRPr="00C90ECF" w14:paraId="23AB0328" w14:textId="77777777" w:rsidTr="00DF64FC">
        <w:trPr>
          <w:jc w:val="center"/>
        </w:trPr>
        <w:tc>
          <w:tcPr>
            <w:tcW w:w="4135" w:type="dxa"/>
          </w:tcPr>
          <w:p w14:paraId="16D59C66" w14:textId="4CEB2A24" w:rsidR="00124173" w:rsidRPr="004B0C52" w:rsidRDefault="00124173" w:rsidP="00C90ECF">
            <w:pPr>
              <w:pStyle w:val="ListParagraph"/>
              <w:rPr>
                <w:rFonts w:ascii="Times New Roman" w:hAnsi="Times New Roman" w:cs="Times New Roman"/>
                <w:sz w:val="24"/>
                <w:szCs w:val="24"/>
              </w:rPr>
            </w:pPr>
            <w:r w:rsidRPr="004B0C52">
              <w:rPr>
                <w:rFonts w:ascii="Times New Roman" w:hAnsi="Times New Roman" w:cs="Times New Roman"/>
                <w:sz w:val="24"/>
                <w:szCs w:val="24"/>
              </w:rPr>
              <w:t>Full Implementation (12 months)</w:t>
            </w:r>
          </w:p>
        </w:tc>
        <w:tc>
          <w:tcPr>
            <w:tcW w:w="3870" w:type="dxa"/>
          </w:tcPr>
          <w:p w14:paraId="1BDDB665" w14:textId="7C243075" w:rsidR="00124173" w:rsidRPr="004B0C52" w:rsidRDefault="00124173" w:rsidP="00C03701">
            <w:pPr>
              <w:pStyle w:val="ListParagraph"/>
              <w:rPr>
                <w:rFonts w:ascii="Times New Roman" w:hAnsi="Times New Roman" w:cs="Times New Roman"/>
                <w:sz w:val="24"/>
                <w:szCs w:val="24"/>
              </w:rPr>
            </w:pPr>
            <w:r w:rsidRPr="004B0C52">
              <w:rPr>
                <w:rFonts w:ascii="Times New Roman" w:hAnsi="Times New Roman" w:cs="Times New Roman"/>
                <w:sz w:val="24"/>
                <w:szCs w:val="24"/>
              </w:rPr>
              <w:t>July 1, 2020 – June 30, 2021</w:t>
            </w:r>
          </w:p>
        </w:tc>
      </w:tr>
    </w:tbl>
    <w:p w14:paraId="5B67450E" w14:textId="77777777" w:rsidR="00124173" w:rsidRPr="00C90ECF" w:rsidRDefault="00124173" w:rsidP="00C03701">
      <w:pPr>
        <w:pStyle w:val="ListParagraph"/>
        <w:ind w:left="0"/>
        <w:rPr>
          <w:color w:val="auto"/>
        </w:rPr>
      </w:pPr>
    </w:p>
    <w:p w14:paraId="0FA0EA68" w14:textId="06764B1B" w:rsidR="00C33EBF" w:rsidRPr="00C03701" w:rsidRDefault="00620300" w:rsidP="00C03701">
      <w:pPr>
        <w:pStyle w:val="ListParagraph"/>
        <w:tabs>
          <w:tab w:val="left" w:pos="360"/>
        </w:tabs>
        <w:ind w:left="0"/>
        <w:rPr>
          <w:b/>
          <w:i/>
          <w:color w:val="auto"/>
          <w:lang w:val="en"/>
        </w:rPr>
      </w:pPr>
      <w:r w:rsidRPr="00C03701">
        <w:rPr>
          <w:b/>
          <w:i/>
          <w:color w:val="auto"/>
          <w:lang w:val="en"/>
        </w:rPr>
        <w:t>Available Funds</w:t>
      </w:r>
    </w:p>
    <w:p w14:paraId="55B2106F" w14:textId="77777777" w:rsidR="00363DE3" w:rsidRPr="00017495" w:rsidRDefault="00363DE3" w:rsidP="00C03701">
      <w:pPr>
        <w:pStyle w:val="ListParagraph"/>
        <w:ind w:left="360"/>
        <w:rPr>
          <w:b/>
          <w:i/>
          <w:color w:val="auto"/>
          <w:lang w:val="en"/>
        </w:rPr>
      </w:pPr>
    </w:p>
    <w:p w14:paraId="2C5DDF44" w14:textId="0DE4D105" w:rsidR="00BC1347" w:rsidRPr="00017495" w:rsidRDefault="008A729A" w:rsidP="00C03701">
      <w:pPr>
        <w:ind w:left="0"/>
        <w:contextualSpacing/>
      </w:pPr>
      <w:r w:rsidRPr="00017495">
        <w:rPr>
          <w:color w:val="auto"/>
          <w:lang w:val="en"/>
        </w:rPr>
        <w:t xml:space="preserve">ARI funds became available through </w:t>
      </w:r>
      <w:r w:rsidRPr="00017495">
        <w:rPr>
          <w:color w:val="auto"/>
        </w:rPr>
        <w:t xml:space="preserve">Public Act </w:t>
      </w:r>
      <w:r w:rsidR="00420993">
        <w:t xml:space="preserve">100-0586 </w:t>
      </w:r>
      <w:r w:rsidR="00A40931" w:rsidRPr="00017495">
        <w:rPr>
          <w:color w:val="auto"/>
        </w:rPr>
        <w:t xml:space="preserve">(Article </w:t>
      </w:r>
      <w:r w:rsidR="00420993">
        <w:rPr>
          <w:color w:val="auto"/>
        </w:rPr>
        <w:t>117</w:t>
      </w:r>
      <w:r w:rsidR="00A40931" w:rsidRPr="00017495">
        <w:rPr>
          <w:color w:val="auto"/>
        </w:rPr>
        <w:t>, Section 10)</w:t>
      </w:r>
      <w:r w:rsidRPr="00017495">
        <w:rPr>
          <w:color w:val="auto"/>
        </w:rPr>
        <w:t xml:space="preserve">. </w:t>
      </w:r>
      <w:bookmarkStart w:id="4" w:name="_Hlk525115459"/>
      <w:r w:rsidR="002F1391" w:rsidRPr="00017495">
        <w:rPr>
          <w:color w:val="auto"/>
        </w:rPr>
        <w:t>A</w:t>
      </w:r>
      <w:r w:rsidRPr="00017495">
        <w:rPr>
          <w:color w:val="auto"/>
          <w:lang w:val="en"/>
        </w:rPr>
        <w:t xml:space="preserve"> maximum of $</w:t>
      </w:r>
      <w:r w:rsidR="004875DA">
        <w:rPr>
          <w:color w:val="auto"/>
          <w:lang w:val="en"/>
        </w:rPr>
        <w:t>2</w:t>
      </w:r>
      <w:r w:rsidR="002F1391" w:rsidRPr="00017495">
        <w:rPr>
          <w:color w:val="auto"/>
          <w:lang w:val="en"/>
        </w:rPr>
        <w:t>00</w:t>
      </w:r>
      <w:r w:rsidRPr="00017495">
        <w:rPr>
          <w:color w:val="auto"/>
          <w:lang w:val="en"/>
        </w:rPr>
        <w:t>,000</w:t>
      </w:r>
      <w:bookmarkEnd w:id="4"/>
      <w:r w:rsidRPr="00017495">
        <w:rPr>
          <w:color w:val="auto"/>
          <w:lang w:val="en"/>
        </w:rPr>
        <w:t xml:space="preserve"> will be made available through this </w:t>
      </w:r>
      <w:r w:rsidR="002F1391" w:rsidRPr="00017495">
        <w:rPr>
          <w:color w:val="auto"/>
          <w:lang w:val="en"/>
        </w:rPr>
        <w:t>funding</w:t>
      </w:r>
      <w:r w:rsidRPr="00017495">
        <w:rPr>
          <w:color w:val="auto"/>
          <w:lang w:val="en"/>
        </w:rPr>
        <w:t xml:space="preserve"> opportunity. </w:t>
      </w:r>
    </w:p>
    <w:p w14:paraId="2B4D60C3" w14:textId="12553860" w:rsidR="00E21641" w:rsidRPr="00017495" w:rsidRDefault="00E21641" w:rsidP="00C03701">
      <w:pPr>
        <w:pStyle w:val="ListParagraph"/>
        <w:ind w:left="0"/>
        <w:rPr>
          <w:color w:val="auto"/>
          <w:lang w:val="en"/>
        </w:rPr>
      </w:pPr>
    </w:p>
    <w:p w14:paraId="0AF6CAC8" w14:textId="2F3680A5" w:rsidR="00171C45" w:rsidRPr="00017495" w:rsidRDefault="00171C45" w:rsidP="00C03701">
      <w:pPr>
        <w:pStyle w:val="ListParagraph"/>
        <w:ind w:left="0"/>
        <w:rPr>
          <w:color w:val="auto"/>
          <w:lang w:val="en"/>
        </w:rPr>
      </w:pPr>
      <w:r w:rsidRPr="00017495">
        <w:rPr>
          <w:color w:val="auto"/>
          <w:lang w:val="en"/>
        </w:rPr>
        <w:t xml:space="preserve">Funding is available for the </w:t>
      </w:r>
      <w:r w:rsidR="006F3F9D">
        <w:rPr>
          <w:color w:val="auto"/>
          <w:lang w:val="en"/>
        </w:rPr>
        <w:t xml:space="preserve">six-month </w:t>
      </w:r>
      <w:r w:rsidRPr="00017495">
        <w:rPr>
          <w:color w:val="auto"/>
          <w:lang w:val="en"/>
        </w:rPr>
        <w:t xml:space="preserve">period of </w:t>
      </w:r>
      <w:r w:rsidR="007D489A">
        <w:rPr>
          <w:color w:val="auto"/>
          <w:lang w:val="en"/>
        </w:rPr>
        <w:t xml:space="preserve">January </w:t>
      </w:r>
      <w:r w:rsidRPr="00017495">
        <w:rPr>
          <w:color w:val="auto"/>
          <w:lang w:val="en"/>
        </w:rPr>
        <w:t>1, 201</w:t>
      </w:r>
      <w:r w:rsidR="006F3F9D">
        <w:rPr>
          <w:color w:val="auto"/>
          <w:lang w:val="en"/>
        </w:rPr>
        <w:t>9</w:t>
      </w:r>
      <w:r w:rsidR="00B5612F">
        <w:rPr>
          <w:color w:val="auto"/>
          <w:lang w:val="en"/>
        </w:rPr>
        <w:t>,</w:t>
      </w:r>
      <w:r w:rsidRPr="00017495">
        <w:rPr>
          <w:color w:val="auto"/>
          <w:lang w:val="en"/>
        </w:rPr>
        <w:t xml:space="preserve"> to June 30, 201</w:t>
      </w:r>
      <w:r>
        <w:rPr>
          <w:color w:val="auto"/>
          <w:lang w:val="en"/>
        </w:rPr>
        <w:t>9</w:t>
      </w:r>
      <w:r w:rsidRPr="00017495">
        <w:rPr>
          <w:color w:val="auto"/>
          <w:lang w:val="en"/>
        </w:rPr>
        <w:t xml:space="preserve">. </w:t>
      </w:r>
      <w:r w:rsidR="0040711A">
        <w:rPr>
          <w:color w:val="auto"/>
          <w:lang w:val="en"/>
        </w:rPr>
        <w:t xml:space="preserve">Following </w:t>
      </w:r>
      <w:r w:rsidR="00D8025D">
        <w:t>successful completion of the initial grant period, applicants may be eligible for continuation grants</w:t>
      </w:r>
      <w:r w:rsidR="00A25A6A">
        <w:t xml:space="preserve"> for implementation,</w:t>
      </w:r>
      <w:r w:rsidR="00CB2B76">
        <w:t xml:space="preserve"> </w:t>
      </w:r>
      <w:r w:rsidR="00D8025D">
        <w:t xml:space="preserve">subject to </w:t>
      </w:r>
      <w:r w:rsidR="00A56059">
        <w:t>satisf</w:t>
      </w:r>
      <w:r w:rsidR="004F0981">
        <w:t>actory project performance, ICJIA</w:t>
      </w:r>
      <w:r w:rsidR="00A6754F">
        <w:t xml:space="preserve"> and </w:t>
      </w:r>
      <w:r w:rsidR="005A5D5E">
        <w:t>ARI</w:t>
      </w:r>
      <w:r w:rsidR="004340C0">
        <w:t xml:space="preserve"> </w:t>
      </w:r>
      <w:r w:rsidR="005A5D5E">
        <w:t>O</w:t>
      </w:r>
      <w:r w:rsidR="004340C0">
        <w:t xml:space="preserve">versight </w:t>
      </w:r>
      <w:r w:rsidR="005A5D5E">
        <w:t>B</w:t>
      </w:r>
      <w:r w:rsidR="004340C0">
        <w:t>oard</w:t>
      </w:r>
      <w:r w:rsidR="004F0981">
        <w:t xml:space="preserve"> approval</w:t>
      </w:r>
      <w:r w:rsidR="004049CB">
        <w:t xml:space="preserve">, </w:t>
      </w:r>
      <w:r w:rsidR="006802EA">
        <w:t>availability of funding</w:t>
      </w:r>
      <w:r w:rsidR="00A25A6A">
        <w:t>,</w:t>
      </w:r>
      <w:r w:rsidR="004049CB">
        <w:t xml:space="preserve"> and term limitations imposed pursuant to GATA.</w:t>
      </w:r>
    </w:p>
    <w:p w14:paraId="4AB2FB20" w14:textId="77777777" w:rsidR="008A729A" w:rsidRPr="00017495" w:rsidRDefault="008A729A" w:rsidP="00C03701">
      <w:pPr>
        <w:pStyle w:val="ListParagraph"/>
        <w:ind w:left="0"/>
      </w:pPr>
    </w:p>
    <w:p w14:paraId="382B11F6" w14:textId="2E44F9CE" w:rsidR="000243F5" w:rsidRDefault="000243F5" w:rsidP="00C03701">
      <w:pPr>
        <w:ind w:left="0"/>
      </w:pPr>
      <w:r w:rsidRPr="00017495">
        <w:t xml:space="preserve">Agreements that result from this funding opportunity are contingent upon and subject to the availability of funds. </w:t>
      </w:r>
      <w:r w:rsidR="002C15FE" w:rsidRPr="00017495">
        <w:t>ICJIA</w:t>
      </w:r>
      <w:r w:rsidRPr="00017495">
        <w:t xml:space="preserve">, at its sole option, may terminate or suspend this agreement, in whole or in part, without penalty or further payment being required, if (1) the Illinois General Assembly fails to make an appropriation sufficient to pay such obligation, or if funds needed are insufficient for any reason (30 ILCS 500/20-60); (2) the Governor decreases </w:t>
      </w:r>
      <w:r w:rsidR="002C15FE" w:rsidRPr="00017495">
        <w:t>ICJIA</w:t>
      </w:r>
      <w:r w:rsidRPr="00017495">
        <w:t xml:space="preserve">’s funding by reserving some or all of </w:t>
      </w:r>
      <w:r w:rsidR="002C15FE" w:rsidRPr="00017495">
        <w:t>ICJIA</w:t>
      </w:r>
      <w:r w:rsidRPr="00017495">
        <w:t xml:space="preserve"> appropriation(s) pursuant to power delegated to the Governor by the Illinois General Assembly; or (3) </w:t>
      </w:r>
      <w:r w:rsidR="002C15FE" w:rsidRPr="00017495">
        <w:t>ICJIA</w:t>
      </w:r>
      <w:r w:rsidRPr="00017495">
        <w:t xml:space="preserve"> determines, in its sole discretion or as directed by the Office of the Governor, that a reduction is necessary or advisable based upon actual or projected budgetary considerations. The Implementing Agency will be notified in writing of the failure of appropriation or of a reduction or decrease.</w:t>
      </w:r>
    </w:p>
    <w:p w14:paraId="273016AC" w14:textId="7B58AA9C" w:rsidR="00834164" w:rsidRDefault="00834164" w:rsidP="00C03701">
      <w:pPr>
        <w:ind w:left="0"/>
      </w:pPr>
    </w:p>
    <w:p w14:paraId="13962460" w14:textId="403D85B8" w:rsidR="00834164" w:rsidRPr="00017495" w:rsidRDefault="001806F9" w:rsidP="00C03701">
      <w:pPr>
        <w:ind w:left="0"/>
      </w:pPr>
      <w:r>
        <w:t xml:space="preserve">Note that </w:t>
      </w:r>
      <w:r w:rsidR="00D6038B">
        <w:t xml:space="preserve">grantees funded under this NOFO will be required to work as a team that includes stakeholders in criminal justice agencies </w:t>
      </w:r>
      <w:r w:rsidR="00DF2F16">
        <w:t>to complete a pla</w:t>
      </w:r>
      <w:r w:rsidR="00092A85">
        <w:t>nning phase f</w:t>
      </w:r>
      <w:r w:rsidR="00DF2F16">
        <w:t>o</w:t>
      </w:r>
      <w:r w:rsidR="00092A85">
        <w:t>r</w:t>
      </w:r>
      <w:r w:rsidR="00DF2F16">
        <w:t xml:space="preserve"> their program, and </w:t>
      </w:r>
      <w:r w:rsidR="00DF2F16">
        <w:lastRenderedPageBreak/>
        <w:t>after ARI</w:t>
      </w:r>
      <w:r w:rsidR="004340C0">
        <w:t xml:space="preserve"> </w:t>
      </w:r>
      <w:r w:rsidR="00DF2F16">
        <w:t>O</w:t>
      </w:r>
      <w:r w:rsidR="004340C0">
        <w:t xml:space="preserve">versight </w:t>
      </w:r>
      <w:r w:rsidR="00DF2F16">
        <w:t>B</w:t>
      </w:r>
      <w:r w:rsidR="004340C0">
        <w:t>oard</w:t>
      </w:r>
      <w:r w:rsidR="00DF2F16">
        <w:t xml:space="preserve"> approval, </w:t>
      </w:r>
      <w:r w:rsidR="002A2AE2">
        <w:t xml:space="preserve">may </w:t>
      </w:r>
      <w:r w:rsidR="00DF2F16">
        <w:t xml:space="preserve">be </w:t>
      </w:r>
      <w:r w:rsidR="00092A85">
        <w:t>authorized</w:t>
      </w:r>
      <w:r w:rsidR="00DF2F16">
        <w:t xml:space="preserve"> to begin the implementation phase of their programs</w:t>
      </w:r>
      <w:r w:rsidR="00DB27CC">
        <w:t xml:space="preserve"> through a continuation grant</w:t>
      </w:r>
      <w:r w:rsidR="00DF2F16">
        <w:t xml:space="preserve">. </w:t>
      </w:r>
      <w:r w:rsidR="002A2AE2">
        <w:t>Therefore, a</w:t>
      </w:r>
      <w:r w:rsidR="00834164">
        <w:t xml:space="preserve">pplicants </w:t>
      </w:r>
      <w:r w:rsidR="002A2AE2">
        <w:t>are</w:t>
      </w:r>
      <w:r w:rsidR="00834164">
        <w:t xml:space="preserve"> required to submit an Implementation Schedule that describes how the program activities will be carried out</w:t>
      </w:r>
      <w:r w:rsidR="002A2AE2">
        <w:t xml:space="preserve"> if additional funding is approved</w:t>
      </w:r>
      <w:r w:rsidR="00834164">
        <w:t>. The Implementation Schedule</w:t>
      </w:r>
      <w:r w:rsidR="00C8263A">
        <w:t xml:space="preserve"> (</w:t>
      </w:r>
      <w:r w:rsidR="00C8263A" w:rsidRPr="008B7212">
        <w:rPr>
          <w:i/>
        </w:rPr>
        <w:t xml:space="preserve">Appendix </w:t>
      </w:r>
      <w:r w:rsidR="00BB0B7C" w:rsidRPr="008B7212">
        <w:rPr>
          <w:i/>
        </w:rPr>
        <w:t>C</w:t>
      </w:r>
      <w:r w:rsidR="00C8263A">
        <w:t xml:space="preserve">) </w:t>
      </w:r>
      <w:r w:rsidR="00834164">
        <w:t xml:space="preserve">should include necessary detail to enable </w:t>
      </w:r>
      <w:r w:rsidR="004340C0">
        <w:t xml:space="preserve">the </w:t>
      </w:r>
      <w:r w:rsidR="00834164">
        <w:t>ARI</w:t>
      </w:r>
      <w:r w:rsidR="004340C0">
        <w:t xml:space="preserve"> </w:t>
      </w:r>
      <w:r w:rsidR="00834164">
        <w:t>O</w:t>
      </w:r>
      <w:r w:rsidR="004340C0">
        <w:t xml:space="preserve">versight </w:t>
      </w:r>
      <w:r w:rsidR="00834164">
        <w:t>B</w:t>
      </w:r>
      <w:r w:rsidR="004340C0">
        <w:t>oard</w:t>
      </w:r>
      <w:r w:rsidR="00834164">
        <w:t xml:space="preserve"> to assess grant activity relative to planned project performance. </w:t>
      </w:r>
    </w:p>
    <w:p w14:paraId="75B65369" w14:textId="77777777" w:rsidR="0038685E" w:rsidRPr="00017495" w:rsidRDefault="0038685E" w:rsidP="00C03701">
      <w:pPr>
        <w:ind w:left="0"/>
        <w:contextualSpacing/>
        <w:rPr>
          <w:sz w:val="28"/>
          <w:szCs w:val="28"/>
        </w:rPr>
      </w:pPr>
    </w:p>
    <w:p w14:paraId="2E9F2E27" w14:textId="429F15A6" w:rsidR="00363DE3" w:rsidRPr="00C03701" w:rsidRDefault="00C33EBF" w:rsidP="00C03701">
      <w:pPr>
        <w:pStyle w:val="ListParagraph"/>
        <w:tabs>
          <w:tab w:val="left" w:pos="360"/>
          <w:tab w:val="left" w:pos="1260"/>
        </w:tabs>
        <w:ind w:left="0"/>
        <w:rPr>
          <w:b/>
          <w:i/>
        </w:rPr>
      </w:pPr>
      <w:r w:rsidRPr="00C03701">
        <w:rPr>
          <w:b/>
          <w:i/>
        </w:rPr>
        <w:t>Cost Sharing or Matching</w:t>
      </w:r>
    </w:p>
    <w:p w14:paraId="719497F5" w14:textId="2BBA605E" w:rsidR="00C33EBF" w:rsidRPr="00017495" w:rsidRDefault="00C33EBF" w:rsidP="00C03701">
      <w:pPr>
        <w:ind w:left="0"/>
        <w:rPr>
          <w:b/>
          <w:i/>
        </w:rPr>
      </w:pPr>
      <w:r w:rsidRPr="00017495">
        <w:rPr>
          <w:b/>
          <w:i/>
        </w:rPr>
        <w:t xml:space="preserve"> </w:t>
      </w:r>
    </w:p>
    <w:p w14:paraId="6C968C5C" w14:textId="77777777" w:rsidR="00C33EBF" w:rsidRPr="00017495" w:rsidRDefault="00C33EBF" w:rsidP="00C03701">
      <w:pPr>
        <w:ind w:left="0"/>
      </w:pPr>
      <w:r w:rsidRPr="00017495">
        <w:t>There is no matching or cost-sharing requirement.</w:t>
      </w:r>
    </w:p>
    <w:p w14:paraId="66939716" w14:textId="77777777" w:rsidR="00C33EBF" w:rsidRPr="00017495" w:rsidRDefault="00C33EBF" w:rsidP="00C03701">
      <w:pPr>
        <w:ind w:left="0"/>
      </w:pPr>
    </w:p>
    <w:p w14:paraId="471815F6" w14:textId="65B24FC1" w:rsidR="00C33EBF" w:rsidRPr="00C03701" w:rsidRDefault="00C33EBF" w:rsidP="00C03701">
      <w:pPr>
        <w:pStyle w:val="ListParagraph"/>
        <w:tabs>
          <w:tab w:val="left" w:pos="360"/>
          <w:tab w:val="left" w:pos="630"/>
        </w:tabs>
        <w:ind w:left="0"/>
        <w:rPr>
          <w:i/>
          <w:u w:val="single"/>
        </w:rPr>
      </w:pPr>
      <w:r w:rsidRPr="00C03701">
        <w:rPr>
          <w:b/>
          <w:i/>
        </w:rPr>
        <w:t>Indirect Cost Rate</w:t>
      </w:r>
      <w:r w:rsidRPr="00C03701">
        <w:rPr>
          <w:i/>
          <w:u w:val="single"/>
        </w:rPr>
        <w:t xml:space="preserve"> </w:t>
      </w:r>
    </w:p>
    <w:p w14:paraId="280FB397" w14:textId="77777777" w:rsidR="00363DE3" w:rsidRPr="00017495" w:rsidRDefault="00363DE3" w:rsidP="00C03701">
      <w:pPr>
        <w:ind w:left="0"/>
        <w:rPr>
          <w:i/>
          <w:u w:val="single"/>
        </w:rPr>
      </w:pPr>
    </w:p>
    <w:p w14:paraId="020F5896" w14:textId="7343E496" w:rsidR="00C33EBF" w:rsidRPr="00017495" w:rsidRDefault="00FA2B6D" w:rsidP="00C03701">
      <w:pPr>
        <w:ind w:left="0"/>
      </w:pPr>
      <w:r>
        <w:t>To</w:t>
      </w:r>
      <w:r w:rsidR="00C33EBF" w:rsidRPr="00017495">
        <w:t xml:space="preserve"> charge indirect costs to a grant, the applicant organization must have a</w:t>
      </w:r>
      <w:r w:rsidR="00E41D56">
        <w:t xml:space="preserve"> </w:t>
      </w:r>
      <w:r w:rsidR="00164BD9">
        <w:t>valid</w:t>
      </w:r>
      <w:r w:rsidR="00164BD9" w:rsidRPr="00017495">
        <w:t xml:space="preserve"> negotiated</w:t>
      </w:r>
      <w:r w:rsidR="00C33EBF" w:rsidRPr="00017495">
        <w:t xml:space="preserve"> indirect cost rate agreement (NICRA). There are three types of NICRAs: </w:t>
      </w:r>
    </w:p>
    <w:p w14:paraId="21C61A48" w14:textId="77777777" w:rsidR="00C33EBF" w:rsidRPr="00017495" w:rsidRDefault="00C33EBF" w:rsidP="00C03701">
      <w:pPr>
        <w:ind w:left="0"/>
      </w:pPr>
    </w:p>
    <w:p w14:paraId="47EB00F1" w14:textId="153A42B5" w:rsidR="00C33EBF" w:rsidRPr="00017495" w:rsidRDefault="00C33EBF" w:rsidP="00C03701">
      <w:pPr>
        <w:pStyle w:val="ListParagraph"/>
        <w:numPr>
          <w:ilvl w:val="0"/>
          <w:numId w:val="8"/>
        </w:numPr>
        <w:ind w:left="360"/>
      </w:pPr>
      <w:r w:rsidRPr="00017495">
        <w:rPr>
          <w:u w:val="single"/>
        </w:rPr>
        <w:t>Federally Negotiated Rate:</w:t>
      </w:r>
      <w:r w:rsidRPr="00017495">
        <w:t xml:space="preserve"> Applicant organizations that receive direct federal funding may have an indirect cost rate that was negotiated with the Federal Cognizant Agency. Illinois will accept the federally negotiated rate. The organization must provide a copy of the federal NICRA</w:t>
      </w:r>
      <w:r w:rsidR="00420993">
        <w:t xml:space="preserve"> at the time of application.</w:t>
      </w:r>
    </w:p>
    <w:p w14:paraId="1D9004A8" w14:textId="77777777" w:rsidR="00C33EBF" w:rsidRPr="00017495" w:rsidRDefault="00C33EBF" w:rsidP="00C03701">
      <w:pPr>
        <w:pStyle w:val="ListParagraph"/>
        <w:ind w:left="360"/>
      </w:pPr>
    </w:p>
    <w:p w14:paraId="390F521C" w14:textId="771DD565" w:rsidR="00C33EBF" w:rsidRPr="00017495" w:rsidRDefault="00C33EBF" w:rsidP="00C03701">
      <w:pPr>
        <w:pStyle w:val="ListParagraph"/>
        <w:numPr>
          <w:ilvl w:val="0"/>
          <w:numId w:val="8"/>
        </w:numPr>
        <w:ind w:left="360"/>
      </w:pPr>
      <w:r w:rsidRPr="00017495">
        <w:rPr>
          <w:u w:val="single"/>
        </w:rPr>
        <w:t>State Negotiated Rate:</w:t>
      </w:r>
      <w:r w:rsidRPr="00017495">
        <w:t xml:space="preserve"> The organization </w:t>
      </w:r>
      <w:r w:rsidR="00420993">
        <w:t>m</w:t>
      </w:r>
      <w:r w:rsidR="001F4971">
        <w:t>ay</w:t>
      </w:r>
      <w:r w:rsidR="00420993" w:rsidRPr="00017495">
        <w:t xml:space="preserve"> </w:t>
      </w:r>
      <w:r w:rsidRPr="00017495">
        <w:t xml:space="preserve">negotiate an indirect cost rate with the State of Illinois if they do not have Federally Negotiated Rate or </w:t>
      </w:r>
      <w:r w:rsidR="001F4971">
        <w:t xml:space="preserve">elect to </w:t>
      </w:r>
      <w:r w:rsidRPr="00017495">
        <w:t xml:space="preserve">use the De Minimis Rate. The indirect cost rate proposal must be submitted to the State of Illinois within 90 days of the notice of award. </w:t>
      </w:r>
      <w:r w:rsidR="00420993">
        <w:t>The applicant must provide a copy of the state negotiated rate at time of application.</w:t>
      </w:r>
    </w:p>
    <w:p w14:paraId="1BCDD50A" w14:textId="77777777" w:rsidR="00C33EBF" w:rsidRPr="00017495" w:rsidRDefault="00C33EBF" w:rsidP="00C03701">
      <w:pPr>
        <w:pStyle w:val="ListParagraph"/>
        <w:ind w:left="0"/>
      </w:pPr>
    </w:p>
    <w:p w14:paraId="4272A471" w14:textId="69E89749" w:rsidR="00C33EBF" w:rsidRPr="00017495" w:rsidRDefault="00C33EBF" w:rsidP="00C03701">
      <w:pPr>
        <w:pStyle w:val="ListParagraph"/>
        <w:numPr>
          <w:ilvl w:val="0"/>
          <w:numId w:val="8"/>
        </w:numPr>
        <w:ind w:left="360"/>
      </w:pPr>
      <w:r w:rsidRPr="00017495">
        <w:rPr>
          <w:u w:val="single"/>
        </w:rPr>
        <w:t>De Minimis Rate:</w:t>
      </w:r>
      <w:r w:rsidRPr="00017495">
        <w:t xml:space="preserve"> An organization that has never received a Federally Negotiated Rate may elect a de minimis rate of 10% of modified total direct cost (MTDC). Once established, the de minimis rate may be used indefinitely. The State of Illinois must verify the calculation of the MTDC annually in order to accept the de minimis rate. Applicants must submit documentation of the MTDC calculation to </w:t>
      </w:r>
      <w:r w:rsidR="002C15FE" w:rsidRPr="00017495">
        <w:t>ICJIA</w:t>
      </w:r>
      <w:r w:rsidRPr="00017495">
        <w:t xml:space="preserve"> within 90 days of the execution of a grant agreement under this solicitation.</w:t>
      </w:r>
    </w:p>
    <w:p w14:paraId="431B6BA7" w14:textId="77777777" w:rsidR="00C33EBF" w:rsidRPr="00017495" w:rsidRDefault="00C33EBF" w:rsidP="00C03701"/>
    <w:p w14:paraId="3135E57F" w14:textId="1FED4868" w:rsidR="00523E0B" w:rsidRPr="00523E0B" w:rsidRDefault="00E41D56" w:rsidP="00C03701">
      <w:pPr>
        <w:ind w:left="0"/>
        <w:contextualSpacing/>
        <w:rPr>
          <w:color w:val="auto"/>
        </w:rPr>
      </w:pPr>
      <w:r w:rsidRPr="00595A9B">
        <w:t>It is the organization’s responsibility to ensure that any indirect cost rate utilized is properly registered in the</w:t>
      </w:r>
      <w:r w:rsidR="003A2FCE">
        <w:t xml:space="preserve"> GATA Portal</w:t>
      </w:r>
      <w:r w:rsidR="00523E0B" w:rsidRPr="00523E0B">
        <w:rPr>
          <w:color w:val="auto"/>
        </w:rPr>
        <w:t xml:space="preserve">. </w:t>
      </w:r>
      <w:r w:rsidR="00523E0B" w:rsidRPr="00523E0B">
        <w:rPr>
          <w:rStyle w:val="Hyperlink"/>
          <w:color w:val="auto"/>
        </w:rPr>
        <w:t xml:space="preserve">Failure to register the rate properly may restrict an organization from charging indirect costs to a grant. </w:t>
      </w:r>
    </w:p>
    <w:p w14:paraId="6D1E4CC4" w14:textId="77777777" w:rsidR="00523E0B" w:rsidRDefault="00523E0B" w:rsidP="00C03701">
      <w:pPr>
        <w:ind w:left="0"/>
        <w:contextualSpacing/>
      </w:pPr>
    </w:p>
    <w:p w14:paraId="74509C87" w14:textId="16474041" w:rsidR="00F808E9" w:rsidRPr="00017495" w:rsidRDefault="00AC2A95" w:rsidP="00C03701">
      <w:pPr>
        <w:ind w:left="0"/>
        <w:contextualSpacing/>
        <w:rPr>
          <w:sz w:val="28"/>
          <w:szCs w:val="28"/>
        </w:rPr>
      </w:pPr>
      <w:r>
        <w:rPr>
          <w:b/>
          <w:sz w:val="28"/>
          <w:szCs w:val="28"/>
        </w:rPr>
        <w:t>F</w:t>
      </w:r>
      <w:r w:rsidR="00C33EBF" w:rsidRPr="00017495">
        <w:rPr>
          <w:b/>
          <w:sz w:val="28"/>
          <w:szCs w:val="28"/>
        </w:rPr>
        <w:t xml:space="preserve">. </w:t>
      </w:r>
      <w:r w:rsidR="006D2857" w:rsidRPr="00017495">
        <w:rPr>
          <w:b/>
          <w:sz w:val="28"/>
          <w:szCs w:val="28"/>
        </w:rPr>
        <w:t>Eligibility Information</w:t>
      </w:r>
      <w:r w:rsidR="006D2857" w:rsidRPr="00017495">
        <w:rPr>
          <w:sz w:val="28"/>
          <w:szCs w:val="28"/>
        </w:rPr>
        <w:t xml:space="preserve"> </w:t>
      </w:r>
    </w:p>
    <w:p w14:paraId="5391E0A7" w14:textId="77777777" w:rsidR="00F808E9" w:rsidRPr="00017495" w:rsidRDefault="00F808E9" w:rsidP="00C03701"/>
    <w:p w14:paraId="27965C41" w14:textId="77777777" w:rsidR="00CD27FB" w:rsidRDefault="00CD27FB" w:rsidP="00C03701">
      <w:pPr>
        <w:ind w:left="0"/>
        <w:rPr>
          <w:b/>
          <w:i/>
          <w:iCs/>
        </w:rPr>
      </w:pPr>
    </w:p>
    <w:p w14:paraId="112250A2" w14:textId="77777777" w:rsidR="00CD27FB" w:rsidRDefault="00CD27FB" w:rsidP="00C03701">
      <w:pPr>
        <w:ind w:left="0"/>
        <w:rPr>
          <w:b/>
          <w:i/>
          <w:iCs/>
        </w:rPr>
      </w:pPr>
    </w:p>
    <w:p w14:paraId="5B64A29F" w14:textId="77777777" w:rsidR="00CD27FB" w:rsidRDefault="00CD27FB" w:rsidP="00C03701">
      <w:pPr>
        <w:ind w:left="0"/>
        <w:rPr>
          <w:b/>
          <w:i/>
          <w:iCs/>
        </w:rPr>
      </w:pPr>
    </w:p>
    <w:p w14:paraId="7DC5F75B" w14:textId="3CEFED05" w:rsidR="00B9684E" w:rsidRPr="00C03701" w:rsidRDefault="00B9684E" w:rsidP="00C03701">
      <w:pPr>
        <w:ind w:left="0"/>
        <w:rPr>
          <w:b/>
          <w:i/>
          <w:iCs/>
        </w:rPr>
      </w:pPr>
      <w:r w:rsidRPr="00C03701">
        <w:rPr>
          <w:b/>
          <w:i/>
          <w:iCs/>
        </w:rPr>
        <w:t>Eligible Applicants</w:t>
      </w:r>
    </w:p>
    <w:p w14:paraId="7D697F98" w14:textId="77777777" w:rsidR="00363DE3" w:rsidRPr="00017495" w:rsidRDefault="00363DE3" w:rsidP="00C03701">
      <w:pPr>
        <w:pStyle w:val="ListParagraph"/>
        <w:ind w:left="360"/>
        <w:rPr>
          <w:b/>
          <w:i/>
          <w:iCs/>
        </w:rPr>
      </w:pPr>
    </w:p>
    <w:p w14:paraId="057F0E21" w14:textId="063C50EE" w:rsidR="00B9684E" w:rsidRDefault="005157EB" w:rsidP="00C03701">
      <w:pPr>
        <w:ind w:left="0"/>
      </w:pPr>
      <w:r>
        <w:t xml:space="preserve">This solicitation is open to </w:t>
      </w:r>
      <w:r w:rsidR="007C10D1" w:rsidRPr="007C10D1">
        <w:t>county units of government</w:t>
      </w:r>
      <w:r w:rsidR="00A15765">
        <w:t xml:space="preserve"> or judicial circuits</w:t>
      </w:r>
      <w:r w:rsidR="007C10D1" w:rsidRPr="007C10D1">
        <w:t xml:space="preserve">. A county may submit on behalf of a group of counties or a judicial circuit. </w:t>
      </w:r>
      <w:r w:rsidR="00A15765">
        <w:rPr>
          <w:i/>
        </w:rPr>
        <w:t>Other units of local government, p</w:t>
      </w:r>
      <w:r w:rsidR="007C10D1" w:rsidRPr="00AA389E">
        <w:rPr>
          <w:i/>
        </w:rPr>
        <w:t>rivate agencies or not-for-profit organizations</w:t>
      </w:r>
      <w:r w:rsidR="007C10D1" w:rsidRPr="007C10D1">
        <w:t xml:space="preserve"> are not eligible to apply.</w:t>
      </w:r>
      <w:r>
        <w:t xml:space="preserve"> </w:t>
      </w:r>
      <w:r w:rsidR="00B9684E" w:rsidRPr="00017495">
        <w:t xml:space="preserve">Applicants for funding must be in good standing with the State of Illinois. </w:t>
      </w:r>
    </w:p>
    <w:p w14:paraId="643662D3" w14:textId="77777777" w:rsidR="00922267" w:rsidRPr="00017495" w:rsidRDefault="00922267" w:rsidP="00C03701">
      <w:pPr>
        <w:ind w:left="0"/>
      </w:pPr>
    </w:p>
    <w:p w14:paraId="1E643904" w14:textId="2A3C133C" w:rsidR="00C33EBF" w:rsidRPr="00C03701" w:rsidRDefault="00C33EBF" w:rsidP="00C03701">
      <w:pPr>
        <w:ind w:left="0"/>
        <w:rPr>
          <w:b/>
          <w:i/>
          <w:iCs/>
        </w:rPr>
      </w:pPr>
      <w:r w:rsidRPr="00C03701">
        <w:rPr>
          <w:b/>
          <w:i/>
          <w:iCs/>
        </w:rPr>
        <w:t>GATA Compliance</w:t>
      </w:r>
    </w:p>
    <w:p w14:paraId="5350DEF5" w14:textId="77777777" w:rsidR="00363DE3" w:rsidRPr="00107E24" w:rsidRDefault="00363DE3" w:rsidP="00C03701">
      <w:pPr>
        <w:pStyle w:val="ListParagraph"/>
        <w:ind w:left="360"/>
        <w:rPr>
          <w:b/>
          <w:i/>
          <w:iCs/>
        </w:rPr>
      </w:pPr>
    </w:p>
    <w:p w14:paraId="42A9311C" w14:textId="3C34CA92" w:rsidR="002B6509" w:rsidRPr="00F01010" w:rsidRDefault="00C33EBF" w:rsidP="004A0A4D">
      <w:pPr>
        <w:pStyle w:val="CommentText"/>
        <w:ind w:left="0"/>
        <w:rPr>
          <w:color w:val="auto"/>
        </w:rPr>
      </w:pPr>
      <w:r w:rsidRPr="004A0A4D">
        <w:rPr>
          <w:sz w:val="24"/>
          <w:szCs w:val="24"/>
        </w:rPr>
        <w:t xml:space="preserve">Agencies must be pre-qualified through the Grant Accountability and Transparency Act (GATA) Grantee Portal, </w:t>
      </w:r>
      <w:hyperlink r:id="rId13" w:history="1">
        <w:r w:rsidR="00E067C0" w:rsidRPr="004A0A4D">
          <w:rPr>
            <w:rStyle w:val="Hyperlink"/>
            <w:sz w:val="24"/>
            <w:szCs w:val="24"/>
          </w:rPr>
          <w:t>https://www2.illinois.gov/sites/GATA/Grantee/Pages/default.aspx</w:t>
        </w:r>
      </w:hyperlink>
      <w:r w:rsidR="00F01010" w:rsidRPr="004A0A4D">
        <w:rPr>
          <w:rStyle w:val="Hyperlink"/>
          <w:sz w:val="24"/>
          <w:szCs w:val="24"/>
        </w:rPr>
        <w:t xml:space="preserve"> </w:t>
      </w:r>
      <w:r w:rsidR="00E067C0" w:rsidRPr="00F01010">
        <w:rPr>
          <w:rStyle w:val="Hyperlink"/>
          <w:color w:val="auto"/>
          <w:sz w:val="24"/>
          <w:szCs w:val="24"/>
          <w:u w:val="none"/>
        </w:rPr>
        <w:t xml:space="preserve"> </w:t>
      </w:r>
      <w:r w:rsidRPr="00F01010">
        <w:rPr>
          <w:rStyle w:val="Hyperlink"/>
          <w:color w:val="auto"/>
          <w:sz w:val="24"/>
          <w:szCs w:val="24"/>
          <w:u w:val="none"/>
        </w:rPr>
        <w:t>to become eligible to apply for an award</w:t>
      </w:r>
      <w:r w:rsidRPr="00F01010">
        <w:rPr>
          <w:sz w:val="24"/>
          <w:szCs w:val="24"/>
        </w:rPr>
        <w:t xml:space="preserve">. During pre-qualification, Dun and Bradstreet verifications are performed, including a check of Debarred and Suspended status and good standing with the Secretary of State. </w:t>
      </w:r>
      <w:r w:rsidR="00484FA8" w:rsidRPr="00F01010">
        <w:rPr>
          <w:color w:val="auto"/>
          <w:sz w:val="24"/>
          <w:szCs w:val="24"/>
        </w:rPr>
        <w:t xml:space="preserve">Applicants must have completed the GATA pre-qualification process by the date of </w:t>
      </w:r>
      <w:r w:rsidR="002B6509" w:rsidRPr="00F01010">
        <w:rPr>
          <w:color w:val="auto"/>
          <w:sz w:val="24"/>
          <w:szCs w:val="24"/>
        </w:rPr>
        <w:t xml:space="preserve">application. </w:t>
      </w:r>
    </w:p>
    <w:p w14:paraId="5FB91F51" w14:textId="77777777" w:rsidR="002B6509" w:rsidRDefault="002B6509" w:rsidP="00C03701">
      <w:pPr>
        <w:ind w:left="0"/>
        <w:rPr>
          <w:color w:val="auto"/>
        </w:rPr>
      </w:pPr>
    </w:p>
    <w:p w14:paraId="173B4D7B" w14:textId="10C12436" w:rsidR="006D5D25" w:rsidRDefault="002B6509" w:rsidP="00C03701">
      <w:pPr>
        <w:ind w:left="0"/>
        <w:rPr>
          <w:color w:val="auto"/>
        </w:rPr>
      </w:pPr>
      <w:r>
        <w:rPr>
          <w:color w:val="auto"/>
        </w:rPr>
        <w:t xml:space="preserve">Applicants </w:t>
      </w:r>
      <w:r w:rsidR="0027095F">
        <w:rPr>
          <w:color w:val="auto"/>
        </w:rPr>
        <w:t xml:space="preserve">will </w:t>
      </w:r>
      <w:r>
        <w:rPr>
          <w:color w:val="auto"/>
        </w:rPr>
        <w:t xml:space="preserve">also </w:t>
      </w:r>
      <w:r w:rsidR="0027095F">
        <w:rPr>
          <w:color w:val="auto"/>
        </w:rPr>
        <w:t xml:space="preserve">be </w:t>
      </w:r>
      <w:r>
        <w:rPr>
          <w:color w:val="auto"/>
        </w:rPr>
        <w:t xml:space="preserve">required to submit </w:t>
      </w:r>
      <w:r w:rsidRPr="002B6509">
        <w:rPr>
          <w:color w:val="auto"/>
        </w:rPr>
        <w:t>a financial and administrative risk assessment utilizing an Internal Controls Questionnaire (ICQ)</w:t>
      </w:r>
      <w:r>
        <w:rPr>
          <w:color w:val="auto"/>
        </w:rPr>
        <w:t xml:space="preserve"> for SFY19 and obtain approval from their cognizant agencies before execution of the grant agreement</w:t>
      </w:r>
      <w:r w:rsidRPr="002B6509">
        <w:rPr>
          <w:color w:val="auto"/>
        </w:rPr>
        <w:t xml:space="preserve">. </w:t>
      </w:r>
      <w:r w:rsidR="00150316" w:rsidRPr="002B6509">
        <w:rPr>
          <w:color w:val="auto"/>
        </w:rPr>
        <w:t xml:space="preserve">Delay in obtaining </w:t>
      </w:r>
      <w:r>
        <w:rPr>
          <w:color w:val="auto"/>
        </w:rPr>
        <w:t>SFY19 ICQ</w:t>
      </w:r>
      <w:r w:rsidR="00150316" w:rsidRPr="002B6509">
        <w:rPr>
          <w:color w:val="auto"/>
        </w:rPr>
        <w:t xml:space="preserve"> </w:t>
      </w:r>
      <w:r>
        <w:rPr>
          <w:color w:val="auto"/>
        </w:rPr>
        <w:t xml:space="preserve">approval will </w:t>
      </w:r>
      <w:r w:rsidR="00150316" w:rsidRPr="002B6509">
        <w:rPr>
          <w:color w:val="auto"/>
        </w:rPr>
        <w:t>result in a delay in grant execution.</w:t>
      </w:r>
    </w:p>
    <w:p w14:paraId="31F502B7" w14:textId="77777777" w:rsidR="00C33EBF" w:rsidRPr="00017495" w:rsidRDefault="00C33EBF" w:rsidP="00C33EBF">
      <w:pPr>
        <w:ind w:left="360"/>
        <w:rPr>
          <w:color w:val="FF0000"/>
        </w:rPr>
      </w:pPr>
    </w:p>
    <w:p w14:paraId="1F75E57F" w14:textId="1FDDE924" w:rsidR="00E27529" w:rsidRPr="00017495" w:rsidRDefault="00AC2A95" w:rsidP="00E60526">
      <w:pPr>
        <w:ind w:left="0"/>
        <w:rPr>
          <w:b/>
          <w:sz w:val="28"/>
        </w:rPr>
      </w:pPr>
      <w:r>
        <w:rPr>
          <w:b/>
          <w:sz w:val="28"/>
        </w:rPr>
        <w:t>G</w:t>
      </w:r>
      <w:r w:rsidR="00F84138" w:rsidRPr="00017495">
        <w:rPr>
          <w:b/>
          <w:sz w:val="28"/>
        </w:rPr>
        <w:t>.</w:t>
      </w:r>
      <w:r w:rsidR="00E27529" w:rsidRPr="00017495">
        <w:rPr>
          <w:b/>
          <w:sz w:val="28"/>
        </w:rPr>
        <w:t xml:space="preserve"> Application and Submission Information </w:t>
      </w:r>
    </w:p>
    <w:p w14:paraId="4013B701" w14:textId="77777777" w:rsidR="0038685E" w:rsidRPr="00017495" w:rsidRDefault="0038685E" w:rsidP="00E27529">
      <w:pPr>
        <w:pStyle w:val="ListParagraph"/>
        <w:spacing w:line="276" w:lineRule="auto"/>
        <w:ind w:left="0"/>
        <w:rPr>
          <w:b/>
        </w:rPr>
      </w:pPr>
    </w:p>
    <w:p w14:paraId="486D4266" w14:textId="5406C56B" w:rsidR="00E27529" w:rsidRPr="00C03701" w:rsidRDefault="0038685E" w:rsidP="00C03701">
      <w:pPr>
        <w:tabs>
          <w:tab w:val="left" w:pos="450"/>
          <w:tab w:val="left" w:pos="540"/>
          <w:tab w:val="left" w:pos="720"/>
        </w:tabs>
        <w:spacing w:line="276" w:lineRule="auto"/>
        <w:ind w:left="0"/>
        <w:rPr>
          <w:b/>
          <w:i/>
          <w:szCs w:val="28"/>
        </w:rPr>
      </w:pPr>
      <w:r w:rsidRPr="00C03701">
        <w:rPr>
          <w:b/>
          <w:i/>
          <w:szCs w:val="28"/>
        </w:rPr>
        <w:t>A</w:t>
      </w:r>
      <w:r w:rsidR="00C33EBF" w:rsidRPr="00C03701">
        <w:rPr>
          <w:b/>
          <w:i/>
          <w:szCs w:val="28"/>
        </w:rPr>
        <w:t>ddress to Obtain Application Materials</w:t>
      </w:r>
    </w:p>
    <w:p w14:paraId="740799CB" w14:textId="77777777" w:rsidR="009B47C5" w:rsidRPr="00017495" w:rsidRDefault="009B47C5" w:rsidP="00725744">
      <w:pPr>
        <w:pStyle w:val="ListParagraph"/>
        <w:ind w:left="0"/>
        <w:rPr>
          <w:i/>
          <w:szCs w:val="28"/>
        </w:rPr>
      </w:pPr>
    </w:p>
    <w:p w14:paraId="2299249D" w14:textId="2D598ED8" w:rsidR="00E27529" w:rsidRPr="00017495" w:rsidRDefault="00E27529">
      <w:pPr>
        <w:ind w:left="0"/>
      </w:pPr>
      <w:r w:rsidRPr="00017495">
        <w:t xml:space="preserve">Applications must be obtained at </w:t>
      </w:r>
      <w:hyperlink r:id="rId14" w:history="1">
        <w:r w:rsidR="00686B75" w:rsidRPr="00017495">
          <w:rPr>
            <w:rFonts w:eastAsiaTheme="minorHAnsi"/>
            <w:color w:val="0563C1" w:themeColor="hyperlink"/>
            <w:u w:val="single"/>
          </w:rPr>
          <w:t>https://gata.icjia.cloud/</w:t>
        </w:r>
      </w:hyperlink>
      <w:r w:rsidR="00686B75" w:rsidRPr="00017495">
        <w:rPr>
          <w:rFonts w:asciiTheme="minorHAnsi" w:eastAsiaTheme="minorHAnsi" w:hAnsiTheme="minorHAnsi" w:cstheme="minorBidi"/>
          <w:color w:val="auto"/>
          <w:sz w:val="22"/>
          <w:szCs w:val="22"/>
        </w:rPr>
        <w:t xml:space="preserve"> </w:t>
      </w:r>
      <w:r w:rsidRPr="00017495">
        <w:t xml:space="preserve">by clicking on the link titled “ARI </w:t>
      </w:r>
      <w:r w:rsidR="004C1DC0">
        <w:t>Funding Opportunity</w:t>
      </w:r>
      <w:r w:rsidR="00FA2B6D">
        <w:t>.</w:t>
      </w:r>
      <w:r w:rsidRPr="00017495">
        <w:t xml:space="preserve">” </w:t>
      </w:r>
    </w:p>
    <w:p w14:paraId="681E618A" w14:textId="77777777" w:rsidR="00E27529" w:rsidRPr="00017495" w:rsidRDefault="00E27529">
      <w:pPr>
        <w:ind w:left="-360"/>
      </w:pPr>
    </w:p>
    <w:p w14:paraId="7090E869" w14:textId="22D074FC" w:rsidR="00E27529" w:rsidRDefault="00E27529" w:rsidP="00E60526">
      <w:pPr>
        <w:ind w:left="0"/>
      </w:pPr>
      <w:r w:rsidRPr="00017495">
        <w:t>Paper copies of the application materials may be requested by calling Adriana P</w:t>
      </w:r>
      <w:r w:rsidR="00AC2A95">
        <w:t>é</w:t>
      </w:r>
      <w:r w:rsidRPr="00017495">
        <w:t>rez at 312-793-8406, but applications may only be submitted via email.</w:t>
      </w:r>
    </w:p>
    <w:p w14:paraId="2682EB51" w14:textId="77777777" w:rsidR="00B40353" w:rsidRPr="00017495" w:rsidRDefault="00B40353" w:rsidP="00E60526">
      <w:pPr>
        <w:ind w:left="0"/>
      </w:pPr>
    </w:p>
    <w:p w14:paraId="49F792C5" w14:textId="5A7C630F" w:rsidR="00F808E9" w:rsidRDefault="00C33EBF" w:rsidP="004A0A4D">
      <w:pPr>
        <w:ind w:left="0"/>
        <w:rPr>
          <w:b/>
          <w:i/>
          <w:szCs w:val="28"/>
        </w:rPr>
      </w:pPr>
      <w:r w:rsidRPr="00017495">
        <w:rPr>
          <w:b/>
          <w:i/>
          <w:szCs w:val="28"/>
        </w:rPr>
        <w:t>Content and Form of Application</w:t>
      </w:r>
      <w:r w:rsidR="006D2857" w:rsidRPr="00017495">
        <w:rPr>
          <w:b/>
          <w:i/>
          <w:szCs w:val="28"/>
        </w:rPr>
        <w:t xml:space="preserve"> Submission</w:t>
      </w:r>
    </w:p>
    <w:p w14:paraId="4C42142D" w14:textId="77777777" w:rsidR="00A25A6A" w:rsidRPr="00017495" w:rsidRDefault="00A25A6A" w:rsidP="004A0A4D">
      <w:pPr>
        <w:ind w:left="0"/>
        <w:rPr>
          <w:i/>
          <w:szCs w:val="28"/>
        </w:rPr>
      </w:pPr>
    </w:p>
    <w:p w14:paraId="39C6716C" w14:textId="77777777" w:rsidR="00BD6DD3" w:rsidRPr="00017495" w:rsidRDefault="006D2857" w:rsidP="00B03478">
      <w:pPr>
        <w:ind w:left="0"/>
        <w:rPr>
          <w:u w:val="single"/>
        </w:rPr>
      </w:pPr>
      <w:r w:rsidRPr="00017495">
        <w:rPr>
          <w:u w:val="single"/>
        </w:rPr>
        <w:t>Notice of Intent</w:t>
      </w:r>
    </w:p>
    <w:p w14:paraId="7FD5C7BE" w14:textId="77777777" w:rsidR="00FA5AC2" w:rsidRPr="00017495" w:rsidRDefault="00FA5AC2">
      <w:pPr>
        <w:ind w:left="0"/>
        <w:rPr>
          <w:u w:val="single"/>
        </w:rPr>
      </w:pPr>
    </w:p>
    <w:p w14:paraId="0CFA1E9E" w14:textId="5C96F8B8" w:rsidR="00BD6DD3" w:rsidRPr="00017495" w:rsidRDefault="006D2857" w:rsidP="00725744">
      <w:pPr>
        <w:ind w:left="0"/>
      </w:pPr>
      <w:r w:rsidRPr="00017495">
        <w:t xml:space="preserve">Agencies interested in </w:t>
      </w:r>
      <w:r w:rsidR="00FA2B6D" w:rsidRPr="00017495">
        <w:t>applying</w:t>
      </w:r>
      <w:r w:rsidRPr="00017495">
        <w:t xml:space="preserve"> are</w:t>
      </w:r>
      <w:r w:rsidR="00BE25B3" w:rsidRPr="00017495">
        <w:t xml:space="preserve"> </w:t>
      </w:r>
      <w:r w:rsidR="00350630" w:rsidRPr="00017495">
        <w:t xml:space="preserve">strongly encouraged </w:t>
      </w:r>
      <w:r w:rsidRPr="00017495">
        <w:t xml:space="preserve">to complete an online Notice of Intent form by </w:t>
      </w:r>
      <w:r w:rsidRPr="00017495">
        <w:rPr>
          <w:b/>
        </w:rPr>
        <w:t>11:59 p.m</w:t>
      </w:r>
      <w:r w:rsidR="00B03478" w:rsidRPr="00017495">
        <w:rPr>
          <w:b/>
        </w:rPr>
        <w:t>.</w:t>
      </w:r>
      <w:r w:rsidR="00B03478">
        <w:rPr>
          <w:b/>
        </w:rPr>
        <w:t xml:space="preserve"> on</w:t>
      </w:r>
      <w:r w:rsidR="00B03478" w:rsidRPr="00017495">
        <w:rPr>
          <w:b/>
        </w:rPr>
        <w:t xml:space="preserve"> </w:t>
      </w:r>
      <w:r w:rsidR="009809A8">
        <w:rPr>
          <w:b/>
        </w:rPr>
        <w:t xml:space="preserve">October </w:t>
      </w:r>
      <w:r w:rsidR="0086123F">
        <w:rPr>
          <w:b/>
        </w:rPr>
        <w:t>12</w:t>
      </w:r>
      <w:r w:rsidR="009809A8">
        <w:rPr>
          <w:b/>
        </w:rPr>
        <w:t>, 2018</w:t>
      </w:r>
      <w:r w:rsidRPr="00017495">
        <w:t>. Submission of a Notice of Intent is non</w:t>
      </w:r>
      <w:r w:rsidR="00A25A6A">
        <w:t>-</w:t>
      </w:r>
      <w:r w:rsidRPr="00017495">
        <w:t>binding and will be used for internal planning purposes only.</w:t>
      </w:r>
      <w:r w:rsidR="00BD6DD3" w:rsidRPr="00017495">
        <w:t xml:space="preserve"> Agencies must have completed the GATA pre-qualification process by the date of application. Upon receipt of a Notice of Intent, </w:t>
      </w:r>
      <w:r w:rsidR="002C15FE" w:rsidRPr="00017495">
        <w:t>ICJIA</w:t>
      </w:r>
      <w:r w:rsidR="00477608" w:rsidRPr="00017495">
        <w:t xml:space="preserve"> </w:t>
      </w:r>
      <w:r w:rsidR="00BD6DD3" w:rsidRPr="00017495">
        <w:t xml:space="preserve">will offer technical assistance to agencies which have not yet demonstrated GATA compliance. </w:t>
      </w:r>
    </w:p>
    <w:p w14:paraId="00D4C9CC" w14:textId="77777777" w:rsidR="002E773D" w:rsidRPr="00017495" w:rsidRDefault="002E773D" w:rsidP="00E60526">
      <w:pPr>
        <w:pStyle w:val="ListParagraph"/>
        <w:ind w:left="360"/>
      </w:pPr>
    </w:p>
    <w:p w14:paraId="4368D23E" w14:textId="77777777" w:rsidR="00484FA8" w:rsidRPr="00017495" w:rsidRDefault="00484FA8" w:rsidP="00725744">
      <w:pPr>
        <w:ind w:left="0"/>
      </w:pPr>
      <w:r w:rsidRPr="00017495">
        <w:t>Failure to submit a Notice of Intent by the deadline above may result in an agency not receiving technical assistance with respect to GATA compliance, therefore risking grant ineligibility.  </w:t>
      </w:r>
    </w:p>
    <w:p w14:paraId="727559D4" w14:textId="77777777" w:rsidR="00F808E9" w:rsidRPr="00017495" w:rsidRDefault="00F808E9" w:rsidP="00E60526">
      <w:pPr>
        <w:ind w:left="0"/>
      </w:pPr>
    </w:p>
    <w:p w14:paraId="7DDF95DA" w14:textId="77777777" w:rsidR="00AD2676" w:rsidRDefault="00AD2676" w:rsidP="00B20B88">
      <w:pPr>
        <w:ind w:left="0"/>
      </w:pPr>
    </w:p>
    <w:p w14:paraId="4A725D76" w14:textId="5B98541C" w:rsidR="00B20B88" w:rsidRDefault="00B91076" w:rsidP="00B20B88">
      <w:pPr>
        <w:ind w:left="0"/>
      </w:pPr>
      <w:r w:rsidRPr="00017495">
        <w:t xml:space="preserve">The </w:t>
      </w:r>
      <w:r w:rsidR="006D2857" w:rsidRPr="00017495">
        <w:t>online</w:t>
      </w:r>
      <w:r w:rsidR="00274656" w:rsidRPr="00017495">
        <w:t xml:space="preserve"> Notice of Inten</w:t>
      </w:r>
      <w:r w:rsidRPr="00017495">
        <w:t>t is available at</w:t>
      </w:r>
      <w:r w:rsidR="006D2857" w:rsidRPr="00017495">
        <w:t xml:space="preserve">: </w:t>
      </w:r>
    </w:p>
    <w:p w14:paraId="3335566A" w14:textId="77777777" w:rsidR="006E7E16" w:rsidRDefault="00903F62" w:rsidP="006E7E16">
      <w:pPr>
        <w:ind w:left="0"/>
      </w:pPr>
      <w:hyperlink r:id="rId15" w:history="1">
        <w:r w:rsidR="006E7E16">
          <w:rPr>
            <w:rStyle w:val="Hyperlink"/>
          </w:rPr>
          <w:t>https://icjia.az1.qualtrics.com/jfe/form/SV_1EQaPVJ60UsJZ1H</w:t>
        </w:r>
      </w:hyperlink>
    </w:p>
    <w:p w14:paraId="5EE4C125" w14:textId="77777777" w:rsidR="00F808E9" w:rsidRPr="00017495" w:rsidRDefault="00F808E9" w:rsidP="00E60526">
      <w:pPr>
        <w:ind w:left="0"/>
      </w:pPr>
    </w:p>
    <w:p w14:paraId="08D28DD3" w14:textId="77777777" w:rsidR="00BD6DD3" w:rsidRPr="00017495" w:rsidRDefault="00BD6DD3" w:rsidP="00725744">
      <w:pPr>
        <w:ind w:left="0"/>
        <w:rPr>
          <w:u w:val="single"/>
        </w:rPr>
      </w:pPr>
      <w:r w:rsidRPr="00017495">
        <w:rPr>
          <w:u w:val="single"/>
        </w:rPr>
        <w:t>Application Submission</w:t>
      </w:r>
    </w:p>
    <w:p w14:paraId="06305C8C" w14:textId="77777777" w:rsidR="00FA5AC2" w:rsidRPr="00017495" w:rsidRDefault="00FA5AC2" w:rsidP="00725744">
      <w:pPr>
        <w:ind w:left="0"/>
        <w:rPr>
          <w:u w:val="single"/>
        </w:rPr>
      </w:pPr>
    </w:p>
    <w:p w14:paraId="1F5FB292" w14:textId="57C0CF20" w:rsidR="00BD6DD3" w:rsidRPr="00017495" w:rsidRDefault="00825A45" w:rsidP="00AA389E">
      <w:pPr>
        <w:ind w:left="0"/>
      </w:pPr>
      <w:r w:rsidRPr="008B7212">
        <w:rPr>
          <w:b/>
        </w:rPr>
        <w:t>The application must be emailed to</w:t>
      </w:r>
      <w:r w:rsidR="00203ED9" w:rsidRPr="008B7212">
        <w:rPr>
          <w:b/>
        </w:rPr>
        <w:t xml:space="preserve"> </w:t>
      </w:r>
      <w:hyperlink r:id="rId16" w:history="1">
        <w:r w:rsidR="00203ED9" w:rsidRPr="008B7212">
          <w:rPr>
            <w:rStyle w:val="Hyperlink"/>
            <w:b/>
          </w:rPr>
          <w:t>CJA.ARI.SFY19NOFO2@Illinois.gov</w:t>
        </w:r>
      </w:hyperlink>
      <w:r w:rsidRPr="00017495">
        <w:t xml:space="preserve">. The applicant agency name should appear in the Subject line of the email. Each document attached to the email must be submitted in the manner and method described below. Applications will be rejected if any documents are missing. The applicant is responsible for ensuring that documents adhere to the instructions provided. </w:t>
      </w:r>
      <w:r w:rsidR="00BD6DD3" w:rsidRPr="00017495">
        <w:t xml:space="preserve"> </w:t>
      </w:r>
      <w:r w:rsidR="001B5D4E">
        <w:br/>
      </w:r>
    </w:p>
    <w:tbl>
      <w:tblPr>
        <w:tblStyle w:val="TableGrid"/>
        <w:tblW w:w="0" w:type="auto"/>
        <w:jc w:val="center"/>
        <w:tblLook w:val="04A0" w:firstRow="1" w:lastRow="0" w:firstColumn="1" w:lastColumn="0" w:noHBand="0" w:noVBand="1"/>
      </w:tblPr>
      <w:tblGrid>
        <w:gridCol w:w="4541"/>
        <w:gridCol w:w="2294"/>
        <w:gridCol w:w="823"/>
        <w:gridCol w:w="816"/>
        <w:gridCol w:w="791"/>
      </w:tblGrid>
      <w:tr w:rsidR="00BD6DD3" w:rsidRPr="00017495" w14:paraId="305D324E" w14:textId="77777777" w:rsidTr="00F2334A">
        <w:trPr>
          <w:jc w:val="center"/>
        </w:trPr>
        <w:tc>
          <w:tcPr>
            <w:tcW w:w="9265" w:type="dxa"/>
            <w:gridSpan w:val="5"/>
            <w:tcBorders>
              <w:bottom w:val="single" w:sz="4" w:space="0" w:color="auto"/>
            </w:tcBorders>
          </w:tcPr>
          <w:p w14:paraId="3552463C" w14:textId="77777777" w:rsidR="00BD6DD3" w:rsidRPr="00017495" w:rsidRDefault="00BD6DD3" w:rsidP="00BD6DD3">
            <w:pPr>
              <w:pStyle w:val="ListParagraph"/>
              <w:rPr>
                <w:rFonts w:ascii="Times New Roman" w:eastAsia="Times New Roman" w:hAnsi="Times New Roman" w:cs="Times New Roman"/>
                <w:b/>
                <w:color w:val="000000"/>
                <w:sz w:val="24"/>
                <w:szCs w:val="24"/>
              </w:rPr>
            </w:pPr>
            <w:r w:rsidRPr="00017495">
              <w:rPr>
                <w:rFonts w:ascii="Times New Roman" w:eastAsia="Times New Roman" w:hAnsi="Times New Roman" w:cs="Times New Roman"/>
                <w:b/>
                <w:color w:val="000000"/>
                <w:sz w:val="24"/>
                <w:szCs w:val="24"/>
              </w:rPr>
              <w:t xml:space="preserve">The following materials MUST be submitted by all applicants. The applicant must submit the documents based on the instructions provided below. </w:t>
            </w:r>
          </w:p>
        </w:tc>
      </w:tr>
      <w:tr w:rsidR="00D5454A" w:rsidRPr="00017495" w14:paraId="72B999BF" w14:textId="77777777" w:rsidTr="00F2334A">
        <w:trPr>
          <w:trHeight w:val="458"/>
          <w:jc w:val="center"/>
        </w:trPr>
        <w:tc>
          <w:tcPr>
            <w:tcW w:w="4541" w:type="dxa"/>
            <w:shd w:val="pct10" w:color="auto" w:fill="auto"/>
            <w:vAlign w:val="center"/>
          </w:tcPr>
          <w:p w14:paraId="025FB142" w14:textId="77777777" w:rsidR="00D5454A" w:rsidRPr="00017495" w:rsidRDefault="00D5454A" w:rsidP="00D5454A">
            <w:pPr>
              <w:pStyle w:val="ListParagraph"/>
              <w:rPr>
                <w:rFonts w:ascii="Times New Roman" w:eastAsia="Times New Roman" w:hAnsi="Times New Roman" w:cs="Times New Roman"/>
                <w:color w:val="000000"/>
                <w:sz w:val="24"/>
                <w:szCs w:val="24"/>
              </w:rPr>
            </w:pPr>
            <w:r w:rsidRPr="00017495">
              <w:rPr>
                <w:rFonts w:ascii="Times New Roman" w:eastAsia="Times New Roman" w:hAnsi="Times New Roman" w:cs="Times New Roman"/>
                <w:b/>
                <w:color w:val="000000"/>
                <w:sz w:val="24"/>
                <w:szCs w:val="24"/>
              </w:rPr>
              <w:t>Document</w:t>
            </w:r>
          </w:p>
        </w:tc>
        <w:tc>
          <w:tcPr>
            <w:tcW w:w="2294" w:type="dxa"/>
            <w:shd w:val="pct10" w:color="auto" w:fill="auto"/>
            <w:vAlign w:val="center"/>
          </w:tcPr>
          <w:p w14:paraId="2C1FD911" w14:textId="77777777" w:rsidR="00D5454A" w:rsidRPr="00017495" w:rsidRDefault="00D5454A" w:rsidP="00D5454A">
            <w:pPr>
              <w:pStyle w:val="ListParagraph"/>
              <w:rPr>
                <w:rFonts w:ascii="Times New Roman" w:eastAsia="Times New Roman" w:hAnsi="Times New Roman" w:cs="Times New Roman"/>
                <w:i/>
                <w:color w:val="000000"/>
                <w:sz w:val="24"/>
                <w:szCs w:val="24"/>
              </w:rPr>
            </w:pPr>
            <w:r w:rsidRPr="00017495">
              <w:rPr>
                <w:rFonts w:ascii="Times New Roman" w:eastAsia="Times New Roman" w:hAnsi="Times New Roman" w:cs="Times New Roman"/>
                <w:b/>
                <w:color w:val="000000"/>
                <w:sz w:val="24"/>
                <w:szCs w:val="24"/>
              </w:rPr>
              <w:t>Document Name</w:t>
            </w:r>
          </w:p>
        </w:tc>
        <w:tc>
          <w:tcPr>
            <w:tcW w:w="823" w:type="dxa"/>
            <w:shd w:val="pct10" w:color="auto" w:fill="auto"/>
            <w:vAlign w:val="center"/>
          </w:tcPr>
          <w:p w14:paraId="5CD71B79" w14:textId="77777777" w:rsidR="00D5454A" w:rsidRPr="00017495" w:rsidRDefault="00D5454A" w:rsidP="00D5454A">
            <w:pPr>
              <w:pStyle w:val="ListParagraph"/>
              <w:rPr>
                <w:rFonts w:ascii="Times New Roman" w:eastAsia="Times New Roman" w:hAnsi="Times New Roman" w:cs="Times New Roman"/>
                <w:color w:val="000000"/>
                <w:sz w:val="24"/>
                <w:szCs w:val="24"/>
              </w:rPr>
            </w:pPr>
            <w:r w:rsidRPr="00017495">
              <w:rPr>
                <w:rFonts w:ascii="Times New Roman" w:eastAsia="Times New Roman" w:hAnsi="Times New Roman" w:cs="Times New Roman"/>
                <w:b/>
                <w:color w:val="000000"/>
                <w:sz w:val="24"/>
                <w:szCs w:val="24"/>
              </w:rPr>
              <w:t>PDF</w:t>
            </w:r>
          </w:p>
        </w:tc>
        <w:tc>
          <w:tcPr>
            <w:tcW w:w="816" w:type="dxa"/>
            <w:shd w:val="pct10" w:color="auto" w:fill="auto"/>
            <w:vAlign w:val="center"/>
          </w:tcPr>
          <w:p w14:paraId="4345C793" w14:textId="77777777" w:rsidR="00D5454A" w:rsidRPr="00017495" w:rsidRDefault="00D5454A" w:rsidP="00D5454A">
            <w:pPr>
              <w:pStyle w:val="ListParagraph"/>
              <w:rPr>
                <w:rFonts w:ascii="Times New Roman" w:eastAsia="Times New Roman" w:hAnsi="Times New Roman" w:cs="Times New Roman"/>
                <w:color w:val="000000"/>
                <w:sz w:val="24"/>
                <w:szCs w:val="24"/>
              </w:rPr>
            </w:pPr>
            <w:r w:rsidRPr="00017495">
              <w:rPr>
                <w:rFonts w:ascii="Times New Roman" w:eastAsia="Times New Roman" w:hAnsi="Times New Roman" w:cs="Times New Roman"/>
                <w:b/>
                <w:color w:val="000000"/>
                <w:sz w:val="24"/>
                <w:szCs w:val="24"/>
              </w:rPr>
              <w:t>Word</w:t>
            </w:r>
          </w:p>
        </w:tc>
        <w:tc>
          <w:tcPr>
            <w:tcW w:w="791" w:type="dxa"/>
            <w:shd w:val="pct10" w:color="auto" w:fill="auto"/>
            <w:vAlign w:val="center"/>
          </w:tcPr>
          <w:p w14:paraId="67062B57" w14:textId="77777777" w:rsidR="00D5454A" w:rsidRPr="00017495" w:rsidRDefault="00D5454A" w:rsidP="00D5454A">
            <w:pPr>
              <w:pStyle w:val="ListParagraph"/>
              <w:rPr>
                <w:rFonts w:ascii="Times New Roman" w:eastAsia="Times New Roman" w:hAnsi="Times New Roman" w:cs="Times New Roman"/>
                <w:color w:val="000000"/>
                <w:sz w:val="24"/>
                <w:szCs w:val="24"/>
              </w:rPr>
            </w:pPr>
            <w:r w:rsidRPr="00017495">
              <w:rPr>
                <w:rFonts w:ascii="Times New Roman" w:eastAsia="Times New Roman" w:hAnsi="Times New Roman" w:cs="Times New Roman"/>
                <w:b/>
                <w:color w:val="000000"/>
                <w:sz w:val="24"/>
                <w:szCs w:val="24"/>
              </w:rPr>
              <w:t>Excel</w:t>
            </w:r>
          </w:p>
        </w:tc>
      </w:tr>
      <w:tr w:rsidR="00D5454A" w:rsidRPr="00017495" w14:paraId="43FDACC9" w14:textId="77777777" w:rsidTr="00F2334A">
        <w:trPr>
          <w:jc w:val="center"/>
        </w:trPr>
        <w:tc>
          <w:tcPr>
            <w:tcW w:w="4541" w:type="dxa"/>
          </w:tcPr>
          <w:p w14:paraId="554C18DD" w14:textId="5F5F078A" w:rsidR="00D5454A" w:rsidRPr="00017495" w:rsidRDefault="00D5454A" w:rsidP="00D5454A">
            <w:pPr>
              <w:pStyle w:val="ListParagraph"/>
            </w:pPr>
            <w:r w:rsidRPr="00017495">
              <w:rPr>
                <w:rFonts w:ascii="Times New Roman" w:eastAsia="Times New Roman" w:hAnsi="Times New Roman" w:cs="Times New Roman"/>
                <w:b/>
                <w:color w:val="000000"/>
                <w:sz w:val="24"/>
                <w:szCs w:val="24"/>
              </w:rPr>
              <w:t>Uniform Application for State Grant Assistance</w:t>
            </w:r>
            <w:r w:rsidRPr="00017495">
              <w:rPr>
                <w:rFonts w:ascii="Times New Roman" w:eastAsia="Times New Roman" w:hAnsi="Times New Roman" w:cs="Times New Roman"/>
                <w:color w:val="000000"/>
                <w:sz w:val="24"/>
                <w:szCs w:val="24"/>
              </w:rPr>
              <w:t xml:space="preserve"> – This form must be completed, signed, and scanned</w:t>
            </w:r>
            <w:r w:rsidR="00F5146A">
              <w:rPr>
                <w:rFonts w:ascii="Times New Roman" w:eastAsia="Times New Roman" w:hAnsi="Times New Roman" w:cs="Times New Roman"/>
                <w:color w:val="000000"/>
                <w:sz w:val="24"/>
                <w:szCs w:val="24"/>
              </w:rPr>
              <w:t xml:space="preserve"> (PDF),</w:t>
            </w:r>
            <w:r w:rsidR="00F54B48">
              <w:rPr>
                <w:rFonts w:ascii="Times New Roman" w:eastAsia="Times New Roman" w:hAnsi="Times New Roman" w:cs="Times New Roman"/>
                <w:color w:val="000000"/>
                <w:sz w:val="24"/>
                <w:szCs w:val="24"/>
              </w:rPr>
              <w:t xml:space="preserve"> and provide</w:t>
            </w:r>
            <w:r w:rsidR="00A25A6A">
              <w:rPr>
                <w:rFonts w:ascii="Times New Roman" w:eastAsia="Times New Roman" w:hAnsi="Times New Roman" w:cs="Times New Roman"/>
                <w:color w:val="000000"/>
                <w:sz w:val="24"/>
                <w:szCs w:val="24"/>
              </w:rPr>
              <w:t>d as</w:t>
            </w:r>
            <w:r w:rsidR="00F54B48">
              <w:rPr>
                <w:rFonts w:ascii="Times New Roman" w:eastAsia="Times New Roman" w:hAnsi="Times New Roman" w:cs="Times New Roman"/>
                <w:color w:val="000000"/>
                <w:sz w:val="24"/>
                <w:szCs w:val="24"/>
              </w:rPr>
              <w:t xml:space="preserve"> </w:t>
            </w:r>
            <w:r w:rsidR="00F5146A">
              <w:rPr>
                <w:rFonts w:ascii="Times New Roman" w:eastAsia="Times New Roman" w:hAnsi="Times New Roman" w:cs="Times New Roman"/>
                <w:color w:val="000000"/>
                <w:sz w:val="24"/>
                <w:szCs w:val="24"/>
              </w:rPr>
              <w:t>a Word file</w:t>
            </w:r>
            <w:r w:rsidR="00360315">
              <w:rPr>
                <w:rFonts w:ascii="Times New Roman" w:eastAsia="Times New Roman" w:hAnsi="Times New Roman" w:cs="Times New Roman"/>
                <w:color w:val="000000"/>
                <w:sz w:val="24"/>
                <w:szCs w:val="24"/>
              </w:rPr>
              <w:t xml:space="preserve"> as well</w:t>
            </w:r>
          </w:p>
        </w:tc>
        <w:tc>
          <w:tcPr>
            <w:tcW w:w="2294" w:type="dxa"/>
          </w:tcPr>
          <w:p w14:paraId="6362C673" w14:textId="77777777" w:rsidR="00D5454A" w:rsidRPr="00017495" w:rsidRDefault="00D5454A" w:rsidP="00D5454A">
            <w:pPr>
              <w:pStyle w:val="ListParagraph"/>
            </w:pPr>
            <w:r w:rsidRPr="00017495">
              <w:rPr>
                <w:rFonts w:ascii="Times New Roman" w:eastAsia="Times New Roman" w:hAnsi="Times New Roman" w:cs="Times New Roman"/>
                <w:color w:val="000000"/>
                <w:sz w:val="24"/>
                <w:szCs w:val="24"/>
              </w:rPr>
              <w:t>“</w:t>
            </w:r>
            <w:r w:rsidRPr="00017495">
              <w:rPr>
                <w:rFonts w:ascii="Times New Roman" w:eastAsia="Times New Roman" w:hAnsi="Times New Roman" w:cs="Times New Roman"/>
                <w:i/>
                <w:color w:val="000000"/>
                <w:sz w:val="24"/>
                <w:szCs w:val="24"/>
              </w:rPr>
              <w:t>Agency Name – Application”</w:t>
            </w:r>
          </w:p>
        </w:tc>
        <w:tc>
          <w:tcPr>
            <w:tcW w:w="823" w:type="dxa"/>
            <w:vAlign w:val="center"/>
          </w:tcPr>
          <w:p w14:paraId="5F6426C2" w14:textId="77777777" w:rsidR="00D5454A" w:rsidRPr="00017495" w:rsidRDefault="00D5454A" w:rsidP="00F2334A">
            <w:pPr>
              <w:pStyle w:val="ListParagraph"/>
              <w:jc w:val="center"/>
            </w:pPr>
            <w:r w:rsidRPr="00017495">
              <w:rPr>
                <w:rFonts w:ascii="Times New Roman" w:eastAsia="Times New Roman" w:hAnsi="Times New Roman" w:cs="Times New Roman"/>
                <w:color w:val="000000"/>
                <w:sz w:val="24"/>
                <w:szCs w:val="24"/>
              </w:rPr>
              <w:t>X</w:t>
            </w:r>
          </w:p>
        </w:tc>
        <w:tc>
          <w:tcPr>
            <w:tcW w:w="816" w:type="dxa"/>
            <w:vAlign w:val="center"/>
          </w:tcPr>
          <w:p w14:paraId="202FB96B" w14:textId="5EEC022F" w:rsidR="00D5454A" w:rsidRPr="00017495" w:rsidRDefault="00360315" w:rsidP="00F2334A">
            <w:pPr>
              <w:pStyle w:val="ListParagraph"/>
              <w:jc w:val="center"/>
            </w:pPr>
            <w:r w:rsidRPr="00017495">
              <w:rPr>
                <w:rFonts w:ascii="Times New Roman" w:eastAsia="Times New Roman" w:hAnsi="Times New Roman" w:cs="Times New Roman"/>
                <w:color w:val="000000"/>
                <w:sz w:val="24"/>
                <w:szCs w:val="24"/>
              </w:rPr>
              <w:t>X</w:t>
            </w:r>
            <w:r>
              <w:t xml:space="preserve"> </w:t>
            </w:r>
          </w:p>
        </w:tc>
        <w:tc>
          <w:tcPr>
            <w:tcW w:w="791" w:type="dxa"/>
            <w:vAlign w:val="center"/>
          </w:tcPr>
          <w:p w14:paraId="61E908A6" w14:textId="77777777" w:rsidR="00D5454A" w:rsidRPr="00017495" w:rsidRDefault="00D5454A" w:rsidP="00F2334A">
            <w:pPr>
              <w:pStyle w:val="ListParagraph"/>
              <w:jc w:val="center"/>
            </w:pPr>
          </w:p>
        </w:tc>
      </w:tr>
      <w:tr w:rsidR="00D5454A" w:rsidRPr="00017495" w14:paraId="655DD3FE" w14:textId="77777777" w:rsidTr="00F2334A">
        <w:trPr>
          <w:jc w:val="center"/>
        </w:trPr>
        <w:tc>
          <w:tcPr>
            <w:tcW w:w="4541" w:type="dxa"/>
          </w:tcPr>
          <w:p w14:paraId="75DA64BF" w14:textId="6B4D4DEF" w:rsidR="00D5454A" w:rsidRPr="00017495" w:rsidRDefault="00D5454A" w:rsidP="00D5454A">
            <w:pPr>
              <w:pStyle w:val="ListParagraph"/>
              <w:rPr>
                <w:rFonts w:ascii="Times New Roman" w:eastAsia="Times New Roman" w:hAnsi="Times New Roman" w:cs="Times New Roman"/>
                <w:color w:val="000000"/>
                <w:sz w:val="24"/>
                <w:szCs w:val="24"/>
              </w:rPr>
            </w:pPr>
            <w:r w:rsidRPr="00017495">
              <w:rPr>
                <w:rFonts w:ascii="Times New Roman" w:eastAsia="Times New Roman" w:hAnsi="Times New Roman" w:cs="Times New Roman"/>
                <w:b/>
                <w:color w:val="000000"/>
                <w:sz w:val="24"/>
                <w:szCs w:val="24"/>
              </w:rPr>
              <w:t>Program Narrative</w:t>
            </w:r>
            <w:r w:rsidRPr="00017495">
              <w:rPr>
                <w:rFonts w:ascii="Times New Roman" w:eastAsia="Times New Roman" w:hAnsi="Times New Roman" w:cs="Times New Roman"/>
                <w:color w:val="000000"/>
                <w:sz w:val="24"/>
                <w:szCs w:val="24"/>
              </w:rPr>
              <w:t xml:space="preserve"> – This document must meet the requirements outlined in Section A. The narrative must be provided</w:t>
            </w:r>
            <w:r w:rsidR="00E067C0">
              <w:rPr>
                <w:rFonts w:ascii="Times New Roman" w:eastAsia="Times New Roman" w:hAnsi="Times New Roman" w:cs="Times New Roman"/>
                <w:color w:val="000000"/>
                <w:sz w:val="24"/>
                <w:szCs w:val="24"/>
              </w:rPr>
              <w:t xml:space="preserve"> the Program </w:t>
            </w:r>
            <w:r w:rsidR="00DE6AAE">
              <w:rPr>
                <w:rFonts w:ascii="Times New Roman" w:eastAsia="Times New Roman" w:hAnsi="Times New Roman" w:cs="Times New Roman"/>
                <w:color w:val="000000"/>
                <w:sz w:val="24"/>
                <w:szCs w:val="24"/>
              </w:rPr>
              <w:t xml:space="preserve">Narrative </w:t>
            </w:r>
            <w:r w:rsidR="00DE6AAE" w:rsidRPr="00017495">
              <w:rPr>
                <w:rFonts w:ascii="Times New Roman" w:eastAsia="Times New Roman" w:hAnsi="Times New Roman" w:cs="Times New Roman"/>
                <w:color w:val="000000"/>
                <w:sz w:val="24"/>
                <w:szCs w:val="24"/>
              </w:rPr>
              <w:t>document</w:t>
            </w:r>
            <w:r w:rsidRPr="00017495">
              <w:rPr>
                <w:rFonts w:ascii="Times New Roman" w:eastAsia="Times New Roman" w:hAnsi="Times New Roman" w:cs="Times New Roman"/>
                <w:color w:val="000000"/>
                <w:sz w:val="24"/>
                <w:szCs w:val="24"/>
              </w:rPr>
              <w:t>. Do not change</w:t>
            </w:r>
            <w:r w:rsidR="007B7251">
              <w:rPr>
                <w:rFonts w:ascii="Times New Roman" w:eastAsia="Times New Roman" w:hAnsi="Times New Roman" w:cs="Times New Roman"/>
                <w:color w:val="000000"/>
                <w:sz w:val="24"/>
                <w:szCs w:val="24"/>
              </w:rPr>
              <w:t xml:space="preserve"> the format of this document. This section should not exceed </w:t>
            </w:r>
            <w:r w:rsidR="00360315">
              <w:rPr>
                <w:rFonts w:ascii="Times New Roman" w:eastAsia="Times New Roman" w:hAnsi="Times New Roman" w:cs="Times New Roman"/>
                <w:color w:val="000000"/>
                <w:sz w:val="24"/>
                <w:szCs w:val="24"/>
              </w:rPr>
              <w:t xml:space="preserve">20 </w:t>
            </w:r>
            <w:r w:rsidR="007B7251">
              <w:rPr>
                <w:rFonts w:ascii="Times New Roman" w:eastAsia="Times New Roman" w:hAnsi="Times New Roman" w:cs="Times New Roman"/>
                <w:color w:val="000000"/>
                <w:sz w:val="24"/>
                <w:szCs w:val="24"/>
              </w:rPr>
              <w:t>pages</w:t>
            </w:r>
            <w:r w:rsidR="00AA6D57">
              <w:rPr>
                <w:rFonts w:ascii="Times New Roman" w:eastAsia="Times New Roman" w:hAnsi="Times New Roman" w:cs="Times New Roman"/>
                <w:color w:val="000000"/>
                <w:sz w:val="24"/>
                <w:szCs w:val="24"/>
              </w:rPr>
              <w:t>.</w:t>
            </w:r>
          </w:p>
        </w:tc>
        <w:tc>
          <w:tcPr>
            <w:tcW w:w="2294" w:type="dxa"/>
          </w:tcPr>
          <w:p w14:paraId="5657E966" w14:textId="77777777" w:rsidR="00D5454A" w:rsidRPr="00017495" w:rsidRDefault="00D5454A" w:rsidP="00D5454A">
            <w:pPr>
              <w:pStyle w:val="ListParagraph"/>
              <w:rPr>
                <w:rFonts w:ascii="Times New Roman" w:eastAsia="Times New Roman" w:hAnsi="Times New Roman" w:cs="Times New Roman"/>
                <w:color w:val="000000"/>
                <w:sz w:val="24"/>
                <w:szCs w:val="24"/>
              </w:rPr>
            </w:pPr>
            <w:r w:rsidRPr="00017495">
              <w:rPr>
                <w:rFonts w:ascii="Times New Roman" w:eastAsia="Times New Roman" w:hAnsi="Times New Roman" w:cs="Times New Roman"/>
                <w:color w:val="000000"/>
                <w:sz w:val="24"/>
                <w:szCs w:val="24"/>
              </w:rPr>
              <w:t>“</w:t>
            </w:r>
            <w:r w:rsidRPr="00017495">
              <w:rPr>
                <w:rFonts w:ascii="Times New Roman" w:eastAsia="Times New Roman" w:hAnsi="Times New Roman" w:cs="Times New Roman"/>
                <w:i/>
                <w:color w:val="000000"/>
                <w:sz w:val="24"/>
                <w:szCs w:val="24"/>
              </w:rPr>
              <w:t>Agency Name – Program Narrative”</w:t>
            </w:r>
          </w:p>
        </w:tc>
        <w:tc>
          <w:tcPr>
            <w:tcW w:w="823" w:type="dxa"/>
            <w:vAlign w:val="center"/>
          </w:tcPr>
          <w:p w14:paraId="05A1CB32" w14:textId="77777777" w:rsidR="00D5454A" w:rsidRPr="00017495" w:rsidRDefault="00D5454A" w:rsidP="00F2334A">
            <w:pPr>
              <w:pStyle w:val="ListParagraph"/>
              <w:jc w:val="center"/>
              <w:rPr>
                <w:rFonts w:ascii="Times New Roman" w:eastAsia="Times New Roman" w:hAnsi="Times New Roman" w:cs="Times New Roman"/>
                <w:color w:val="000000"/>
                <w:sz w:val="24"/>
                <w:szCs w:val="24"/>
              </w:rPr>
            </w:pPr>
          </w:p>
        </w:tc>
        <w:tc>
          <w:tcPr>
            <w:tcW w:w="816" w:type="dxa"/>
            <w:vAlign w:val="center"/>
          </w:tcPr>
          <w:p w14:paraId="2AFCE82D" w14:textId="77777777" w:rsidR="00D5454A" w:rsidRPr="00017495" w:rsidRDefault="00D5454A" w:rsidP="00F2334A">
            <w:pPr>
              <w:pStyle w:val="ListParagraph"/>
              <w:jc w:val="center"/>
              <w:rPr>
                <w:rFonts w:ascii="Times New Roman" w:eastAsia="Times New Roman" w:hAnsi="Times New Roman" w:cs="Times New Roman"/>
                <w:color w:val="000000"/>
                <w:sz w:val="24"/>
                <w:szCs w:val="24"/>
              </w:rPr>
            </w:pPr>
            <w:r w:rsidRPr="00017495">
              <w:rPr>
                <w:rFonts w:ascii="Times New Roman" w:eastAsia="Times New Roman" w:hAnsi="Times New Roman" w:cs="Times New Roman"/>
                <w:color w:val="000000"/>
                <w:sz w:val="24"/>
                <w:szCs w:val="24"/>
              </w:rPr>
              <w:t>X</w:t>
            </w:r>
          </w:p>
        </w:tc>
        <w:tc>
          <w:tcPr>
            <w:tcW w:w="791" w:type="dxa"/>
            <w:vAlign w:val="center"/>
          </w:tcPr>
          <w:p w14:paraId="4363C3DD" w14:textId="77777777" w:rsidR="00D5454A" w:rsidRPr="00017495" w:rsidRDefault="00D5454A" w:rsidP="00F2334A">
            <w:pPr>
              <w:pStyle w:val="ListParagraph"/>
              <w:jc w:val="center"/>
              <w:rPr>
                <w:rFonts w:ascii="Times New Roman" w:eastAsia="Times New Roman" w:hAnsi="Times New Roman" w:cs="Times New Roman"/>
                <w:color w:val="000000"/>
                <w:sz w:val="24"/>
                <w:szCs w:val="24"/>
              </w:rPr>
            </w:pPr>
          </w:p>
        </w:tc>
      </w:tr>
      <w:tr w:rsidR="00D5454A" w:rsidRPr="00017495" w14:paraId="262B0C6A" w14:textId="77777777" w:rsidTr="00F2334A">
        <w:trPr>
          <w:jc w:val="center"/>
        </w:trPr>
        <w:tc>
          <w:tcPr>
            <w:tcW w:w="4541" w:type="dxa"/>
          </w:tcPr>
          <w:p w14:paraId="5B9AA7E4" w14:textId="26012CDC" w:rsidR="00D5454A" w:rsidRPr="00017495" w:rsidRDefault="00D5454A" w:rsidP="00D5454A">
            <w:pPr>
              <w:pStyle w:val="ListParagraph"/>
              <w:rPr>
                <w:rFonts w:ascii="Times New Roman" w:eastAsia="Times New Roman" w:hAnsi="Times New Roman" w:cs="Times New Roman"/>
                <w:color w:val="000000"/>
                <w:sz w:val="24"/>
                <w:szCs w:val="24"/>
              </w:rPr>
            </w:pPr>
            <w:r w:rsidRPr="00017495">
              <w:rPr>
                <w:rFonts w:ascii="Times New Roman" w:eastAsia="Times New Roman" w:hAnsi="Times New Roman" w:cs="Times New Roman"/>
                <w:b/>
                <w:color w:val="000000"/>
                <w:sz w:val="24"/>
                <w:szCs w:val="24"/>
              </w:rPr>
              <w:t>Budget/Budget Narrative</w:t>
            </w:r>
            <w:r w:rsidR="007C3B4C" w:rsidRPr="00017495">
              <w:rPr>
                <w:rFonts w:ascii="Times New Roman" w:eastAsia="Times New Roman" w:hAnsi="Times New Roman" w:cs="Times New Roman"/>
                <w:color w:val="000000"/>
                <w:sz w:val="24"/>
                <w:szCs w:val="24"/>
              </w:rPr>
              <w:t xml:space="preserve">– </w:t>
            </w:r>
            <w:r w:rsidR="008D4EA6" w:rsidRPr="00017495">
              <w:rPr>
                <w:rFonts w:ascii="Times New Roman" w:eastAsia="Times New Roman" w:hAnsi="Times New Roman" w:cs="Times New Roman"/>
                <w:color w:val="000000"/>
                <w:sz w:val="24"/>
                <w:szCs w:val="24"/>
              </w:rPr>
              <w:t>This document is a</w:t>
            </w:r>
            <w:r w:rsidR="00B03478">
              <w:rPr>
                <w:rFonts w:ascii="Times New Roman" w:eastAsia="Times New Roman" w:hAnsi="Times New Roman" w:cs="Times New Roman"/>
                <w:color w:val="000000"/>
                <w:sz w:val="24"/>
                <w:szCs w:val="24"/>
              </w:rPr>
              <w:t>n Excel</w:t>
            </w:r>
            <w:r w:rsidR="008D4EA6" w:rsidRPr="00017495">
              <w:rPr>
                <w:rFonts w:ascii="Times New Roman" w:eastAsia="Times New Roman" w:hAnsi="Times New Roman" w:cs="Times New Roman"/>
                <w:color w:val="000000"/>
                <w:sz w:val="24"/>
                <w:szCs w:val="24"/>
              </w:rPr>
              <w:t xml:space="preserve"> workbook, with several pages (tabs). The last tab </w:t>
            </w:r>
            <w:r w:rsidR="002448F9">
              <w:rPr>
                <w:rFonts w:ascii="Times New Roman" w:eastAsia="Times New Roman" w:hAnsi="Times New Roman" w:cs="Times New Roman"/>
                <w:color w:val="000000"/>
                <w:sz w:val="24"/>
                <w:szCs w:val="24"/>
              </w:rPr>
              <w:t xml:space="preserve">has </w:t>
            </w:r>
            <w:r w:rsidR="008D4EA6" w:rsidRPr="00017495">
              <w:rPr>
                <w:rFonts w:ascii="Times New Roman" w:eastAsia="Times New Roman" w:hAnsi="Times New Roman" w:cs="Times New Roman"/>
                <w:color w:val="000000"/>
                <w:sz w:val="24"/>
                <w:szCs w:val="24"/>
              </w:rPr>
              <w:t>instructions if clarification is need</w:t>
            </w:r>
            <w:r w:rsidR="002448F9">
              <w:rPr>
                <w:rFonts w:ascii="Times New Roman" w:eastAsia="Times New Roman" w:hAnsi="Times New Roman" w:cs="Times New Roman"/>
                <w:color w:val="000000"/>
                <w:sz w:val="24"/>
                <w:szCs w:val="24"/>
              </w:rPr>
              <w:t>ed</w:t>
            </w:r>
            <w:r w:rsidR="008D4EA6" w:rsidRPr="00017495">
              <w:rPr>
                <w:rFonts w:ascii="Times New Roman" w:eastAsia="Times New Roman" w:hAnsi="Times New Roman" w:cs="Times New Roman"/>
                <w:color w:val="000000"/>
                <w:sz w:val="24"/>
                <w:szCs w:val="24"/>
              </w:rPr>
              <w:t xml:space="preserve">. </w:t>
            </w:r>
          </w:p>
        </w:tc>
        <w:tc>
          <w:tcPr>
            <w:tcW w:w="2294" w:type="dxa"/>
          </w:tcPr>
          <w:p w14:paraId="5727AFE4" w14:textId="77777777" w:rsidR="00D5454A" w:rsidRPr="00017495" w:rsidRDefault="00D5454A" w:rsidP="00D5454A">
            <w:pPr>
              <w:pStyle w:val="ListParagraph"/>
              <w:rPr>
                <w:rFonts w:ascii="Times New Roman" w:eastAsia="Times New Roman" w:hAnsi="Times New Roman" w:cs="Times New Roman"/>
                <w:color w:val="000000"/>
                <w:sz w:val="24"/>
                <w:szCs w:val="24"/>
              </w:rPr>
            </w:pPr>
            <w:r w:rsidRPr="00017495">
              <w:rPr>
                <w:rFonts w:ascii="Times New Roman" w:eastAsia="Times New Roman" w:hAnsi="Times New Roman" w:cs="Times New Roman"/>
                <w:color w:val="000000"/>
                <w:sz w:val="24"/>
                <w:szCs w:val="24"/>
              </w:rPr>
              <w:t>“</w:t>
            </w:r>
            <w:r w:rsidRPr="00017495">
              <w:rPr>
                <w:rFonts w:ascii="Times New Roman" w:eastAsia="Times New Roman" w:hAnsi="Times New Roman" w:cs="Times New Roman"/>
                <w:i/>
                <w:color w:val="000000"/>
                <w:sz w:val="24"/>
                <w:szCs w:val="24"/>
              </w:rPr>
              <w:t>Agency Name – Budget”</w:t>
            </w:r>
          </w:p>
        </w:tc>
        <w:tc>
          <w:tcPr>
            <w:tcW w:w="823" w:type="dxa"/>
            <w:vAlign w:val="center"/>
          </w:tcPr>
          <w:p w14:paraId="2893A468" w14:textId="77777777" w:rsidR="00D5454A" w:rsidRPr="00017495" w:rsidRDefault="00D5454A" w:rsidP="00F2334A">
            <w:pPr>
              <w:pStyle w:val="ListParagraph"/>
              <w:jc w:val="center"/>
              <w:rPr>
                <w:rFonts w:ascii="Times New Roman" w:eastAsia="Times New Roman" w:hAnsi="Times New Roman" w:cs="Times New Roman"/>
                <w:color w:val="000000"/>
                <w:sz w:val="24"/>
                <w:szCs w:val="24"/>
              </w:rPr>
            </w:pPr>
          </w:p>
        </w:tc>
        <w:tc>
          <w:tcPr>
            <w:tcW w:w="816" w:type="dxa"/>
            <w:vAlign w:val="center"/>
          </w:tcPr>
          <w:p w14:paraId="4316F6CF" w14:textId="77777777" w:rsidR="00D5454A" w:rsidRPr="00017495" w:rsidRDefault="00D5454A" w:rsidP="00F2334A">
            <w:pPr>
              <w:pStyle w:val="ListParagraph"/>
              <w:jc w:val="center"/>
              <w:rPr>
                <w:rFonts w:ascii="Times New Roman" w:eastAsia="Times New Roman" w:hAnsi="Times New Roman" w:cs="Times New Roman"/>
                <w:color w:val="000000"/>
                <w:sz w:val="24"/>
                <w:szCs w:val="24"/>
              </w:rPr>
            </w:pPr>
          </w:p>
        </w:tc>
        <w:tc>
          <w:tcPr>
            <w:tcW w:w="791" w:type="dxa"/>
            <w:vAlign w:val="center"/>
          </w:tcPr>
          <w:p w14:paraId="6307328C" w14:textId="77777777" w:rsidR="00D5454A" w:rsidRPr="00017495" w:rsidRDefault="00D5454A" w:rsidP="00F2334A">
            <w:pPr>
              <w:pStyle w:val="ListParagraph"/>
              <w:jc w:val="center"/>
              <w:rPr>
                <w:rFonts w:ascii="Times New Roman" w:eastAsia="Times New Roman" w:hAnsi="Times New Roman" w:cs="Times New Roman"/>
                <w:color w:val="000000"/>
                <w:sz w:val="24"/>
                <w:szCs w:val="24"/>
              </w:rPr>
            </w:pPr>
            <w:r w:rsidRPr="00017495">
              <w:rPr>
                <w:rFonts w:ascii="Times New Roman" w:eastAsia="Times New Roman" w:hAnsi="Times New Roman" w:cs="Times New Roman"/>
                <w:color w:val="000000"/>
                <w:sz w:val="24"/>
                <w:szCs w:val="24"/>
              </w:rPr>
              <w:t>X</w:t>
            </w:r>
          </w:p>
        </w:tc>
      </w:tr>
    </w:tbl>
    <w:p w14:paraId="5C87F308" w14:textId="77777777" w:rsidR="00BD6DD3" w:rsidRPr="00017495" w:rsidRDefault="00BD6DD3" w:rsidP="00BD6DD3">
      <w:pPr>
        <w:pStyle w:val="ListParagraph"/>
        <w:ind w:left="0"/>
      </w:pPr>
    </w:p>
    <w:p w14:paraId="66836068" w14:textId="02E6C863" w:rsidR="00BD6DD3" w:rsidRPr="00C03701" w:rsidRDefault="002B1E99" w:rsidP="00C03701">
      <w:pPr>
        <w:tabs>
          <w:tab w:val="left" w:pos="990"/>
        </w:tabs>
        <w:ind w:left="0"/>
        <w:rPr>
          <w:i/>
          <w:sz w:val="28"/>
          <w:szCs w:val="28"/>
        </w:rPr>
      </w:pPr>
      <w:r w:rsidRPr="00C03701">
        <w:rPr>
          <w:b/>
          <w:i/>
          <w:iCs/>
          <w:szCs w:val="28"/>
        </w:rPr>
        <w:t>Dun and Bradstreet Universal Numbering System (DUNS) Number and System for Award Management (SAM)</w:t>
      </w:r>
      <w:r w:rsidRPr="00C03701">
        <w:rPr>
          <w:i/>
          <w:szCs w:val="28"/>
        </w:rPr>
        <w:t xml:space="preserve"> </w:t>
      </w:r>
    </w:p>
    <w:p w14:paraId="59166234" w14:textId="77777777" w:rsidR="00BD6DD3" w:rsidRPr="00017495" w:rsidRDefault="00BD6DD3" w:rsidP="007C2C58">
      <w:pPr>
        <w:ind w:left="360" w:hanging="360"/>
      </w:pPr>
    </w:p>
    <w:p w14:paraId="4AC2385C" w14:textId="49DFE9C0" w:rsidR="002B1E99" w:rsidRPr="00017495" w:rsidRDefault="002B1E99" w:rsidP="007C2C58">
      <w:pPr>
        <w:ind w:left="360" w:hanging="360"/>
      </w:pPr>
      <w:r w:rsidRPr="00017495">
        <w:t xml:space="preserve">Each applicant is required to: </w:t>
      </w:r>
    </w:p>
    <w:p w14:paraId="17F9089A" w14:textId="77777777" w:rsidR="002B1E99" w:rsidRPr="00017495" w:rsidRDefault="002B1E99" w:rsidP="007C2C58"/>
    <w:p w14:paraId="47CBB3FE" w14:textId="59009D08" w:rsidR="002B1E99" w:rsidRPr="00017495" w:rsidRDefault="007B7251" w:rsidP="00164BD9">
      <w:pPr>
        <w:ind w:left="360"/>
      </w:pPr>
      <w:r>
        <w:lastRenderedPageBreak/>
        <w:t>(i) Be registered in SAM</w:t>
      </w:r>
      <w:r w:rsidR="00A15765">
        <w:t>.gov</w:t>
      </w:r>
      <w:r>
        <w:t xml:space="preserve"> prior to </w:t>
      </w:r>
      <w:r w:rsidR="002B1E99" w:rsidRPr="00017495">
        <w:t>application</w:t>
      </w:r>
      <w:r>
        <w:t xml:space="preserve"> submission</w:t>
      </w:r>
      <w:r w:rsidR="002B1E99" w:rsidRPr="00017495">
        <w:t>. If you are not registered</w:t>
      </w:r>
      <w:r w:rsidR="0088671F" w:rsidRPr="00017495">
        <w:t xml:space="preserve"> </w:t>
      </w:r>
      <w:r w:rsidR="002B1E99" w:rsidRPr="00017495">
        <w:t>in SAM</w:t>
      </w:r>
      <w:r w:rsidR="00A15765">
        <w:t>.gov</w:t>
      </w:r>
      <w:r w:rsidR="002B1E99" w:rsidRPr="00017495">
        <w:t xml:space="preserve">, this link provides a connection for SAM registration: </w:t>
      </w:r>
      <w:hyperlink r:id="rId17" w:history="1">
        <w:r w:rsidR="00244BBA" w:rsidRPr="0003200D">
          <w:rPr>
            <w:rStyle w:val="Hyperlink"/>
          </w:rPr>
          <w:t>https://governmentcontractregistration.com/sam-registration.asp</w:t>
        </w:r>
      </w:hyperlink>
      <w:r w:rsidR="0088671F" w:rsidRPr="00017495">
        <w:t xml:space="preserve"> </w:t>
      </w:r>
    </w:p>
    <w:p w14:paraId="6CC4EC04" w14:textId="77777777" w:rsidR="002B1E99" w:rsidRPr="00017495" w:rsidRDefault="002B1E99" w:rsidP="00164BD9">
      <w:pPr>
        <w:ind w:left="360"/>
      </w:pPr>
    </w:p>
    <w:p w14:paraId="599F4000" w14:textId="50BBD8F7" w:rsidR="002B1E99" w:rsidRPr="00017495" w:rsidRDefault="002B1E99" w:rsidP="00164BD9">
      <w:pPr>
        <w:ind w:left="360"/>
      </w:pPr>
      <w:r w:rsidRPr="00017495">
        <w:t>(ii) Provide a valid DUNS number in its application. To obtain a DUNS</w:t>
      </w:r>
      <w:r w:rsidR="007C2C58" w:rsidRPr="00017495">
        <w:t xml:space="preserve"> </w:t>
      </w:r>
      <w:r w:rsidRPr="00017495">
        <w:t>number,</w:t>
      </w:r>
      <w:r w:rsidR="007C2C58" w:rsidRPr="00017495">
        <w:t xml:space="preserve"> </w:t>
      </w:r>
      <w:r w:rsidRPr="00017495">
        <w:t xml:space="preserve">from Dun and Bradstreet, Inc., </w:t>
      </w:r>
      <w:r w:rsidR="00964F09">
        <w:t xml:space="preserve">go to </w:t>
      </w:r>
      <w:hyperlink r:id="rId18" w:history="1">
        <w:r w:rsidRPr="00017495">
          <w:rPr>
            <w:rStyle w:val="Hyperlink"/>
          </w:rPr>
          <w:t>www.dunandbradstreet.com</w:t>
        </w:r>
      </w:hyperlink>
      <w:r w:rsidRPr="00017495">
        <w:t xml:space="preserve"> or call </w:t>
      </w:r>
      <w:r w:rsidR="007C2C58" w:rsidRPr="00017495">
        <w:t>1</w:t>
      </w:r>
      <w:r w:rsidRPr="00017495">
        <w:t xml:space="preserve">-866-705- 5711. </w:t>
      </w:r>
    </w:p>
    <w:p w14:paraId="4D67253A" w14:textId="77777777" w:rsidR="00BD6DD3" w:rsidRPr="00017495" w:rsidRDefault="00BD6DD3" w:rsidP="00164BD9">
      <w:pPr>
        <w:ind w:left="360"/>
      </w:pPr>
    </w:p>
    <w:p w14:paraId="090C0B20" w14:textId="54F2385E" w:rsidR="00BD6DD3" w:rsidRPr="00017495" w:rsidRDefault="002B1E99" w:rsidP="00164BD9">
      <w:pPr>
        <w:ind w:left="360"/>
      </w:pPr>
      <w:r w:rsidRPr="00017495">
        <w:t xml:space="preserve">(iii) Maintain an active SAM registration throughout the application and grant period. </w:t>
      </w:r>
      <w:r w:rsidR="002C15FE" w:rsidRPr="00017495">
        <w:t>ICJIA</w:t>
      </w:r>
      <w:r w:rsidRPr="00017495">
        <w:t xml:space="preserve"> may not make a federal pass-through or state award to an</w:t>
      </w:r>
      <w:r w:rsidR="007C2C58" w:rsidRPr="00017495">
        <w:t xml:space="preserve"> </w:t>
      </w:r>
      <w:r w:rsidRPr="00017495">
        <w:t xml:space="preserve">applicant until the applicant has complied with all applicable DUNS and SAM requirements. If an applicant has not fully complied with the requirements by the time </w:t>
      </w:r>
      <w:r w:rsidR="002C15FE" w:rsidRPr="00017495">
        <w:t>ICJIA</w:t>
      </w:r>
      <w:r w:rsidRPr="00017495">
        <w:t xml:space="preserve"> is ready to make a federal pass-through or state award, </w:t>
      </w:r>
      <w:r w:rsidR="002C15FE" w:rsidRPr="00017495">
        <w:t>ICJIA</w:t>
      </w:r>
      <w:r w:rsidRPr="00017495">
        <w:t xml:space="preserve"> may determine that the applicant is not qualified to receive an award and may use that determination as a basis for making a federal pass-through or state award to another applicant.</w:t>
      </w:r>
    </w:p>
    <w:p w14:paraId="2E137111" w14:textId="77777777" w:rsidR="00BD6DD3" w:rsidRPr="00017495" w:rsidRDefault="00BD6DD3" w:rsidP="00BD6DD3">
      <w:pPr>
        <w:ind w:left="0"/>
      </w:pPr>
    </w:p>
    <w:p w14:paraId="3AE5539F" w14:textId="1AD6EB20" w:rsidR="00CC6444" w:rsidRPr="00017495" w:rsidRDefault="00E60526" w:rsidP="00922267">
      <w:pPr>
        <w:ind w:left="0"/>
        <w:rPr>
          <w:b/>
          <w:i/>
        </w:rPr>
      </w:pPr>
      <w:r w:rsidRPr="00017495">
        <w:rPr>
          <w:b/>
          <w:i/>
        </w:rPr>
        <w:t>Submission</w:t>
      </w:r>
      <w:r w:rsidR="00CC6444" w:rsidRPr="00017495">
        <w:rPr>
          <w:b/>
          <w:i/>
        </w:rPr>
        <w:t xml:space="preserve"> Dates and Times </w:t>
      </w:r>
    </w:p>
    <w:p w14:paraId="486C8766" w14:textId="77777777" w:rsidR="0069072F" w:rsidRPr="00017495" w:rsidRDefault="0069072F" w:rsidP="00E60526">
      <w:pPr>
        <w:ind w:left="0"/>
      </w:pPr>
    </w:p>
    <w:p w14:paraId="132DC1DC" w14:textId="09F28058" w:rsidR="00CC6444" w:rsidRPr="00017495" w:rsidRDefault="00CC6444" w:rsidP="00E60526">
      <w:pPr>
        <w:ind w:left="0"/>
        <w:rPr>
          <w:u w:val="single"/>
        </w:rPr>
      </w:pPr>
      <w:r w:rsidRPr="00017495">
        <w:rPr>
          <w:u w:val="single"/>
        </w:rPr>
        <w:t xml:space="preserve">Application </w:t>
      </w:r>
      <w:r w:rsidR="007E59B8" w:rsidRPr="00017495">
        <w:rPr>
          <w:u w:val="single"/>
        </w:rPr>
        <w:t>Questions</w:t>
      </w:r>
    </w:p>
    <w:p w14:paraId="1247152F" w14:textId="77777777" w:rsidR="007E59B8" w:rsidRPr="00017495" w:rsidRDefault="007E59B8" w:rsidP="00E60526">
      <w:pPr>
        <w:ind w:left="0"/>
      </w:pPr>
    </w:p>
    <w:p w14:paraId="4409A5D0" w14:textId="7D74D41B" w:rsidR="007E59B8" w:rsidRDefault="007E59B8" w:rsidP="007E59B8">
      <w:pPr>
        <w:ind w:left="0"/>
      </w:pPr>
      <w:r w:rsidRPr="00017495">
        <w:t>Questions may be submitted via email at</w:t>
      </w:r>
      <w:r w:rsidR="00573AB7">
        <w:t xml:space="preserve"> </w:t>
      </w:r>
      <w:hyperlink r:id="rId19" w:history="1">
        <w:r w:rsidR="00203ED9" w:rsidRPr="00D05D72">
          <w:rPr>
            <w:rStyle w:val="Hyperlink"/>
          </w:rPr>
          <w:t>CJA.ARI.SFY19NOFO2@Illinois.gov</w:t>
        </w:r>
      </w:hyperlink>
      <w:r w:rsidR="00203ED9">
        <w:t xml:space="preserve">. </w:t>
      </w:r>
    </w:p>
    <w:p w14:paraId="00B71503" w14:textId="77777777" w:rsidR="00FA2B6D" w:rsidRPr="00017495" w:rsidRDefault="00FA2B6D" w:rsidP="007E59B8">
      <w:pPr>
        <w:ind w:left="0"/>
      </w:pPr>
    </w:p>
    <w:p w14:paraId="119808B2" w14:textId="27F7E553" w:rsidR="0072377A" w:rsidRDefault="007E59B8" w:rsidP="0072377A">
      <w:pPr>
        <w:ind w:left="0"/>
      </w:pPr>
      <w:r w:rsidRPr="00017495">
        <w:t xml:space="preserve">The deadline for submitting questions is 11:59 p.m., </w:t>
      </w:r>
      <w:r w:rsidR="00573AB7">
        <w:t>October 1</w:t>
      </w:r>
      <w:r w:rsidR="00585803">
        <w:t>8</w:t>
      </w:r>
      <w:r w:rsidR="0069072F">
        <w:t>, 2018</w:t>
      </w:r>
      <w:r w:rsidRPr="00017495">
        <w:t xml:space="preserve">. All substantive questions and responses will be posted on the </w:t>
      </w:r>
      <w:r w:rsidR="00017495" w:rsidRPr="00017495">
        <w:t xml:space="preserve">ICJIA </w:t>
      </w:r>
      <w:r w:rsidRPr="00017495">
        <w:t xml:space="preserve">website at </w:t>
      </w:r>
      <w:hyperlink r:id="rId20" w:history="1">
        <w:r w:rsidR="0069072F" w:rsidRPr="0003200D">
          <w:rPr>
            <w:rStyle w:val="Hyperlink"/>
          </w:rPr>
          <w:t>https://gata.icjia.cloud/</w:t>
        </w:r>
      </w:hyperlink>
      <w:r w:rsidRPr="00017495">
        <w:t xml:space="preserve">. </w:t>
      </w:r>
      <w:r w:rsidR="0072377A">
        <w:t xml:space="preserve">Questions and responses will be posted every Friday by </w:t>
      </w:r>
      <w:r w:rsidR="00B40353">
        <w:t xml:space="preserve">1:00 p.m. </w:t>
      </w:r>
      <w:r w:rsidR="0072377A">
        <w:t>until October 1</w:t>
      </w:r>
      <w:r w:rsidR="00585803">
        <w:t>9</w:t>
      </w:r>
      <w:r w:rsidR="0072377A">
        <w:t xml:space="preserve">, 2018. </w:t>
      </w:r>
    </w:p>
    <w:p w14:paraId="6711489B" w14:textId="4CFE8961" w:rsidR="00FA2B6D" w:rsidRPr="00595A9B" w:rsidRDefault="00FA2B6D" w:rsidP="00C03701">
      <w:pPr>
        <w:ind w:left="0"/>
        <w:rPr>
          <w:u w:val="single"/>
        </w:rPr>
      </w:pPr>
      <w:r w:rsidRPr="00595A9B">
        <w:rPr>
          <w:u w:val="single"/>
        </w:rPr>
        <w:t>Deadline</w:t>
      </w:r>
    </w:p>
    <w:p w14:paraId="40408602" w14:textId="77777777" w:rsidR="00FA2B6D" w:rsidRDefault="00FA2B6D" w:rsidP="00C03701">
      <w:pPr>
        <w:ind w:left="0"/>
      </w:pPr>
    </w:p>
    <w:p w14:paraId="5D72C39A" w14:textId="6C257C6A" w:rsidR="00CC6444" w:rsidRPr="00017495" w:rsidRDefault="00CC6444" w:rsidP="00C03701">
      <w:pPr>
        <w:ind w:left="0"/>
      </w:pPr>
      <w:r w:rsidRPr="00017495">
        <w:t xml:space="preserve">All applications are due by </w:t>
      </w:r>
      <w:r w:rsidRPr="00017495">
        <w:rPr>
          <w:b/>
        </w:rPr>
        <w:t>11:59 p.m.</w:t>
      </w:r>
      <w:r w:rsidR="00B03478">
        <w:rPr>
          <w:b/>
        </w:rPr>
        <w:t>,</w:t>
      </w:r>
      <w:r w:rsidRPr="00017495">
        <w:rPr>
          <w:b/>
        </w:rPr>
        <w:t xml:space="preserve"> </w:t>
      </w:r>
      <w:r w:rsidR="00F35327">
        <w:rPr>
          <w:b/>
        </w:rPr>
        <w:t xml:space="preserve">October </w:t>
      </w:r>
      <w:r w:rsidR="00585803">
        <w:rPr>
          <w:b/>
        </w:rPr>
        <w:t>26</w:t>
      </w:r>
      <w:r w:rsidR="00F35327">
        <w:rPr>
          <w:b/>
        </w:rPr>
        <w:t>, 2018</w:t>
      </w:r>
      <w:r w:rsidRPr="00017495">
        <w:rPr>
          <w:color w:val="FF0000"/>
        </w:rPr>
        <w:t>.</w:t>
      </w:r>
    </w:p>
    <w:p w14:paraId="16C6CB02" w14:textId="77777777" w:rsidR="00BD6DD3" w:rsidRPr="00017495" w:rsidRDefault="00BD6DD3" w:rsidP="00C03701">
      <w:pPr>
        <w:ind w:left="360"/>
      </w:pPr>
    </w:p>
    <w:p w14:paraId="6366B9F5" w14:textId="7522D17C" w:rsidR="00BD6DD3" w:rsidRPr="00017495" w:rsidRDefault="00BD6DD3" w:rsidP="00C03701">
      <w:pPr>
        <w:ind w:left="0"/>
      </w:pPr>
      <w:r w:rsidRPr="00017495">
        <w:t>Completed application materials must be emailed to</w:t>
      </w:r>
      <w:r w:rsidR="00A9796A">
        <w:t xml:space="preserve"> </w:t>
      </w:r>
      <w:hyperlink r:id="rId21" w:history="1">
        <w:r w:rsidR="00203ED9" w:rsidRPr="00D05D72">
          <w:rPr>
            <w:rStyle w:val="Hyperlink"/>
          </w:rPr>
          <w:t>CJA.ARI.SFY19NOFO2@Illinois.gov</w:t>
        </w:r>
      </w:hyperlink>
      <w:r w:rsidR="00203ED9">
        <w:t xml:space="preserve"> </w:t>
      </w:r>
      <w:r w:rsidR="00A9796A" w:rsidRPr="00996140">
        <w:t>b</w:t>
      </w:r>
      <w:r w:rsidRPr="00017495">
        <w:t xml:space="preserve">y </w:t>
      </w:r>
      <w:r w:rsidRPr="00017495">
        <w:rPr>
          <w:b/>
        </w:rPr>
        <w:t xml:space="preserve">11:59 p.m., </w:t>
      </w:r>
      <w:r w:rsidR="00F35327">
        <w:rPr>
          <w:b/>
        </w:rPr>
        <w:t xml:space="preserve">October </w:t>
      </w:r>
      <w:r w:rsidR="00585803">
        <w:rPr>
          <w:b/>
        </w:rPr>
        <w:t>26</w:t>
      </w:r>
      <w:r w:rsidR="008C694D">
        <w:rPr>
          <w:b/>
        </w:rPr>
        <w:t>, 2018</w:t>
      </w:r>
      <w:r w:rsidRPr="00017495">
        <w:rPr>
          <w:b/>
        </w:rPr>
        <w:t>,</w:t>
      </w:r>
      <w:r w:rsidRPr="00017495">
        <w:t xml:space="preserve"> to be considered for funding. Proposals will not be accepted by mail, fax, or in-person. Incomplete applications will not be reviewed. Late submissions will not be reviewed.</w:t>
      </w:r>
    </w:p>
    <w:p w14:paraId="76F8C89D" w14:textId="77777777" w:rsidR="00BD6DD3" w:rsidRPr="00017495" w:rsidRDefault="00BD6DD3" w:rsidP="00C03701">
      <w:pPr>
        <w:ind w:left="360"/>
      </w:pPr>
    </w:p>
    <w:p w14:paraId="41351C5B" w14:textId="6C8EA3DE" w:rsidR="00BD6DD3" w:rsidRPr="00017495" w:rsidRDefault="00BD6DD3" w:rsidP="00C03701">
      <w:pPr>
        <w:ind w:left="0"/>
      </w:pPr>
      <w:r w:rsidRPr="00017495">
        <w:t xml:space="preserve">Agencies are encouraged to submit their applications 72 hours in advance of the deadline to avoid unforeseen technical difficulties. Technical difficulties should be reported immediately to </w:t>
      </w:r>
      <w:r w:rsidR="002C15FE" w:rsidRPr="00017495">
        <w:t>ICJIA</w:t>
      </w:r>
      <w:r w:rsidR="00477608" w:rsidRPr="00017495">
        <w:t xml:space="preserve"> </w:t>
      </w:r>
      <w:r w:rsidRPr="00017495">
        <w:t>at</w:t>
      </w:r>
      <w:r w:rsidR="00E22F6A">
        <w:t xml:space="preserve"> </w:t>
      </w:r>
      <w:hyperlink r:id="rId22" w:history="1">
        <w:r w:rsidR="00203ED9" w:rsidRPr="00D05D72">
          <w:rPr>
            <w:rStyle w:val="Hyperlink"/>
          </w:rPr>
          <w:t>CJA.ARI.SFY19NOFO2@Illinois.gov</w:t>
        </w:r>
      </w:hyperlink>
      <w:r w:rsidR="00203ED9">
        <w:t xml:space="preserve"> </w:t>
      </w:r>
    </w:p>
    <w:p w14:paraId="2D8DA980" w14:textId="77777777" w:rsidR="00BD6DD3" w:rsidRPr="00017495" w:rsidRDefault="00BD6DD3" w:rsidP="00C03701">
      <w:pPr>
        <w:ind w:left="360"/>
      </w:pPr>
    </w:p>
    <w:p w14:paraId="2EAC5031" w14:textId="6A716B96" w:rsidR="00BD6DD3" w:rsidRPr="00017495" w:rsidRDefault="00BD6DD3" w:rsidP="00E60526">
      <w:pPr>
        <w:ind w:left="0"/>
        <w:contextualSpacing/>
        <w:rPr>
          <w:b/>
          <w:i/>
          <w:szCs w:val="28"/>
        </w:rPr>
      </w:pPr>
      <w:r w:rsidRPr="00017495">
        <w:rPr>
          <w:b/>
          <w:i/>
          <w:szCs w:val="28"/>
        </w:rPr>
        <w:t>Intergovernmental Review</w:t>
      </w:r>
      <w:r w:rsidRPr="00017495">
        <w:rPr>
          <w:b/>
          <w:i/>
          <w:szCs w:val="28"/>
        </w:rPr>
        <w:br/>
      </w:r>
    </w:p>
    <w:p w14:paraId="238D4696" w14:textId="77777777" w:rsidR="00BD6DD3" w:rsidRPr="00017495" w:rsidRDefault="00BD6DD3" w:rsidP="00BD6DD3">
      <w:pPr>
        <w:ind w:left="0"/>
      </w:pPr>
      <w:r w:rsidRPr="00017495">
        <w:t xml:space="preserve">Not applicable. </w:t>
      </w:r>
    </w:p>
    <w:p w14:paraId="7DD9B9B6" w14:textId="77777777" w:rsidR="00BD6DD3" w:rsidRPr="00017495" w:rsidRDefault="00BD6DD3" w:rsidP="00BD6DD3">
      <w:pPr>
        <w:ind w:left="1440"/>
      </w:pPr>
    </w:p>
    <w:p w14:paraId="24B6776D" w14:textId="6288FE23" w:rsidR="00BD6DD3" w:rsidRPr="00017495" w:rsidRDefault="00BD6DD3" w:rsidP="00E60526">
      <w:pPr>
        <w:tabs>
          <w:tab w:val="left" w:pos="360"/>
        </w:tabs>
        <w:ind w:left="0"/>
        <w:contextualSpacing/>
        <w:rPr>
          <w:i/>
          <w:szCs w:val="28"/>
        </w:rPr>
      </w:pPr>
      <w:r w:rsidRPr="00017495">
        <w:rPr>
          <w:b/>
          <w:i/>
          <w:szCs w:val="28"/>
        </w:rPr>
        <w:t xml:space="preserve">Funding </w:t>
      </w:r>
      <w:r w:rsidR="00922267">
        <w:rPr>
          <w:b/>
          <w:i/>
          <w:szCs w:val="28"/>
        </w:rPr>
        <w:t>Restrictions</w:t>
      </w:r>
    </w:p>
    <w:p w14:paraId="07105144" w14:textId="73F5C09D" w:rsidR="00BD6DD3" w:rsidRDefault="00BD6DD3" w:rsidP="00BD6DD3">
      <w:pPr>
        <w:widowControl w:val="0"/>
        <w:ind w:left="0"/>
      </w:pPr>
    </w:p>
    <w:p w14:paraId="1B140C72" w14:textId="77777777" w:rsidR="00CD27FB" w:rsidRDefault="00CD27FB" w:rsidP="00C03701">
      <w:pPr>
        <w:widowControl w:val="0"/>
        <w:ind w:left="0"/>
        <w:rPr>
          <w:u w:val="single"/>
        </w:rPr>
      </w:pPr>
    </w:p>
    <w:p w14:paraId="52C3170B" w14:textId="77777777" w:rsidR="00CD27FB" w:rsidRDefault="00CD27FB" w:rsidP="00C03701">
      <w:pPr>
        <w:widowControl w:val="0"/>
        <w:ind w:left="0"/>
        <w:rPr>
          <w:u w:val="single"/>
        </w:rPr>
      </w:pPr>
    </w:p>
    <w:p w14:paraId="35EB30AF" w14:textId="51B974CF" w:rsidR="00D32C0D" w:rsidRPr="00922267" w:rsidRDefault="002419B0" w:rsidP="00C03701">
      <w:pPr>
        <w:widowControl w:val="0"/>
        <w:ind w:left="0"/>
        <w:rPr>
          <w:u w:val="single"/>
        </w:rPr>
      </w:pPr>
      <w:r w:rsidRPr="002419B0">
        <w:rPr>
          <w:u w:val="single"/>
        </w:rPr>
        <w:t>Cost Principles</w:t>
      </w:r>
    </w:p>
    <w:p w14:paraId="0247B509" w14:textId="77777777" w:rsidR="0038685E" w:rsidRDefault="0038685E" w:rsidP="00C03701">
      <w:pPr>
        <w:ind w:left="0"/>
      </w:pPr>
    </w:p>
    <w:p w14:paraId="6EE8B39D" w14:textId="7A2000F8" w:rsidR="00BD6DD3" w:rsidRPr="00017495" w:rsidRDefault="002419B0" w:rsidP="00C03701">
      <w:pPr>
        <w:ind w:left="0"/>
      </w:pPr>
      <w:r>
        <w:t xml:space="preserve">ARI Grants are subject to the cost principles as defined by GATA. Section 15 of GATA defines allowable costs as follows: </w:t>
      </w:r>
      <w:r w:rsidR="00B03478">
        <w:t>“</w:t>
      </w:r>
      <w:r w:rsidRPr="002419B0">
        <w:t>Allowable cost</w:t>
      </w:r>
      <w:r w:rsidR="00B03478">
        <w:t>”</w:t>
      </w:r>
      <w:r w:rsidR="00B03478" w:rsidRPr="002419B0">
        <w:t xml:space="preserve"> </w:t>
      </w:r>
      <w:r w:rsidRPr="002419B0">
        <w:t>means a cost allowable to a project if: (1) the costs are reasonable and necessary for the performance of the award; (2) the costs are allocable to the specific project; (3) the costs are treated consistently in like circumstances to both federally</w:t>
      </w:r>
      <w:r w:rsidR="00B40353">
        <w:t xml:space="preserve"> </w:t>
      </w:r>
      <w:r w:rsidRPr="002419B0">
        <w:t>financed and other activities of the non-federal entity; (4) the costs conform to any limitations of the cost principles or the sponsored agreement; (5) the costs are accorded consistent treatment; a cost may not be assigned to a State or federal award as a direct cost if any other cost incurred for the same purpose in like circumstances has been allocated to the award as an indirect cost; (6) the costs are determined to be in accordance with generally accepted accounting principles; (7) the costs are not included as a cost or used to meet federal cost-sharing or matching requirements of any other program in either the current or prior period; (8) the costs of one State or federal grant are not used to meet the match requirements of another State or federal grant; and (9) the costs are adequately documented</w:t>
      </w:r>
      <w:r>
        <w:t xml:space="preserve">. 30 ILCS 708/15. GATA further incorporates </w:t>
      </w:r>
      <w:r w:rsidR="00E37D1D">
        <w:t>the</w:t>
      </w:r>
      <w:r>
        <w:t xml:space="preserve"> cost principles in accordance with Subpart E of 2 CFR 200. 30 ILCS 708/20(a)(2). The Department of Justice </w:t>
      </w:r>
      <w:r w:rsidR="00005CDE">
        <w:t xml:space="preserve">Grants </w:t>
      </w:r>
      <w:r>
        <w:t xml:space="preserve">Financial Guide which details allowable and unallowable costs based on the 2 CFR 200, can be found at </w:t>
      </w:r>
      <w:hyperlink r:id="rId23" w:history="1">
        <w:r w:rsidR="00CE6B73" w:rsidRPr="00F33162">
          <w:rPr>
            <w:rStyle w:val="Hyperlink"/>
          </w:rPr>
          <w:t>https://ojp.gov/financialguide/doj/index.htm</w:t>
        </w:r>
      </w:hyperlink>
      <w:r>
        <w:t xml:space="preserve">. </w:t>
      </w:r>
    </w:p>
    <w:p w14:paraId="703F8B16" w14:textId="77777777" w:rsidR="00BD6DD3" w:rsidRDefault="00BD6DD3" w:rsidP="00C03701">
      <w:pPr>
        <w:ind w:left="360"/>
        <w:contextualSpacing/>
        <w:rPr>
          <w:b/>
        </w:rPr>
      </w:pPr>
    </w:p>
    <w:p w14:paraId="50C7D157" w14:textId="77777777" w:rsidR="00BD6DD3" w:rsidRPr="00017495" w:rsidRDefault="00BD6DD3" w:rsidP="00C03701">
      <w:pPr>
        <w:keepLines/>
        <w:widowControl w:val="0"/>
        <w:tabs>
          <w:tab w:val="left" w:pos="540"/>
          <w:tab w:val="left" w:pos="900"/>
        </w:tabs>
        <w:ind w:left="0"/>
        <w:jc w:val="both"/>
        <w:rPr>
          <w:u w:val="single"/>
        </w:rPr>
      </w:pPr>
      <w:r w:rsidRPr="00017495">
        <w:rPr>
          <w:u w:val="single"/>
        </w:rPr>
        <w:t>Supplanting</w:t>
      </w:r>
    </w:p>
    <w:p w14:paraId="13F8D0F8" w14:textId="77777777" w:rsidR="0038685E" w:rsidRDefault="0038685E" w:rsidP="00C03701">
      <w:pPr>
        <w:keepLines/>
        <w:widowControl w:val="0"/>
        <w:tabs>
          <w:tab w:val="left" w:pos="360"/>
          <w:tab w:val="left" w:pos="540"/>
        </w:tabs>
        <w:ind w:left="0"/>
      </w:pPr>
    </w:p>
    <w:p w14:paraId="1CB6C44F" w14:textId="5133927F" w:rsidR="00BD6DD3" w:rsidRPr="00017495" w:rsidRDefault="00BD6DD3" w:rsidP="00C03701">
      <w:pPr>
        <w:keepLines/>
        <w:widowControl w:val="0"/>
        <w:tabs>
          <w:tab w:val="left" w:pos="360"/>
          <w:tab w:val="left" w:pos="540"/>
        </w:tabs>
        <w:ind w:left="0"/>
      </w:pPr>
      <w:r w:rsidRPr="00017495">
        <w:t xml:space="preserve">If funds will be used for the expansion of an already implemented program, applicants must explain how proposed activities will supplement—not supplant—current program activities and staff positions. Public agencies may not deliberately reduce local, federal or other state funds because of the existence of these funds. A written certification may be requested by </w:t>
      </w:r>
      <w:r w:rsidR="002C15FE" w:rsidRPr="00017495">
        <w:t>ICJIA</w:t>
      </w:r>
      <w:r w:rsidR="00477608" w:rsidRPr="00017495">
        <w:t xml:space="preserve"> </w:t>
      </w:r>
      <w:r w:rsidRPr="00017495">
        <w:t>stating that these funds will not be used to supplant other state, local, or federal funds.</w:t>
      </w:r>
    </w:p>
    <w:p w14:paraId="2A95CC0A" w14:textId="77777777" w:rsidR="00BD6DD3" w:rsidRPr="00017495" w:rsidRDefault="00BD6DD3" w:rsidP="00C03701">
      <w:pPr>
        <w:keepLines/>
        <w:widowControl w:val="0"/>
        <w:tabs>
          <w:tab w:val="left" w:pos="360"/>
          <w:tab w:val="left" w:pos="540"/>
        </w:tabs>
        <w:ind w:left="0"/>
        <w:jc w:val="both"/>
      </w:pPr>
    </w:p>
    <w:p w14:paraId="4B758480" w14:textId="77777777" w:rsidR="0038685E" w:rsidRDefault="00BD6DD3" w:rsidP="00C03701">
      <w:pPr>
        <w:keepNext/>
        <w:ind w:left="0"/>
      </w:pPr>
      <w:r w:rsidRPr="00017495">
        <w:rPr>
          <w:u w:val="single"/>
        </w:rPr>
        <w:t>Prohibited Uses</w:t>
      </w:r>
      <w:r w:rsidRPr="00017495">
        <w:rPr>
          <w:u w:val="single"/>
        </w:rPr>
        <w:br/>
      </w:r>
    </w:p>
    <w:p w14:paraId="1AAD708E" w14:textId="7668FB23" w:rsidR="00F31BEC" w:rsidRPr="00017495" w:rsidRDefault="00BD6DD3" w:rsidP="00C03701">
      <w:pPr>
        <w:keepNext/>
        <w:ind w:left="0"/>
      </w:pPr>
      <w:r w:rsidRPr="00017495">
        <w:t>Land acquisition and construction are prohibited uses of these funds.</w:t>
      </w:r>
      <w:r w:rsidR="00F31BEC" w:rsidRPr="00017495">
        <w:t xml:space="preserve"> Funds may not be used for capital expenditures, renovations or remodeling, or any food and beverage purchases. </w:t>
      </w:r>
    </w:p>
    <w:p w14:paraId="09C01E61" w14:textId="23B966E7" w:rsidR="00F31BEC" w:rsidRPr="00017495" w:rsidRDefault="00F31BEC" w:rsidP="00C03701">
      <w:pPr>
        <w:ind w:left="0"/>
      </w:pPr>
    </w:p>
    <w:p w14:paraId="34776959" w14:textId="77777777" w:rsidR="0038685E" w:rsidRDefault="00BD6DD3" w:rsidP="00C03701">
      <w:pPr>
        <w:ind w:left="0"/>
      </w:pPr>
      <w:r w:rsidRPr="00017495">
        <w:rPr>
          <w:u w:val="single"/>
        </w:rPr>
        <w:t>Pre-award costs</w:t>
      </w:r>
      <w:r w:rsidRPr="00017495">
        <w:rPr>
          <w:u w:val="single"/>
        </w:rPr>
        <w:br/>
      </w:r>
    </w:p>
    <w:p w14:paraId="64EA0FFD" w14:textId="64114A14" w:rsidR="00BD6DD3" w:rsidRPr="00017495" w:rsidRDefault="00BD6DD3" w:rsidP="00C03701">
      <w:pPr>
        <w:ind w:left="0"/>
      </w:pPr>
      <w:r w:rsidRPr="00017495">
        <w:t>No costs incurred before the start date of the agreement may be charged to a grant award received as part of this funding opportunity.</w:t>
      </w:r>
    </w:p>
    <w:p w14:paraId="2BBAFC04" w14:textId="77777777" w:rsidR="006A60DD" w:rsidRDefault="006A60DD" w:rsidP="00BD6DD3">
      <w:pPr>
        <w:ind w:left="0"/>
        <w:rPr>
          <w:u w:val="single"/>
        </w:rPr>
      </w:pPr>
    </w:p>
    <w:p w14:paraId="0653DDCD" w14:textId="7914BD9C" w:rsidR="0038685E" w:rsidRDefault="00BD6DD3" w:rsidP="00BD6DD3">
      <w:pPr>
        <w:ind w:left="0"/>
      </w:pPr>
      <w:r w:rsidRPr="00017495">
        <w:rPr>
          <w:u w:val="single"/>
        </w:rPr>
        <w:t>Pre-approvals</w:t>
      </w:r>
      <w:r w:rsidRPr="00017495">
        <w:rPr>
          <w:u w:val="single"/>
        </w:rPr>
        <w:br/>
      </w:r>
    </w:p>
    <w:p w14:paraId="43226A5B" w14:textId="5A70B09A" w:rsidR="00BD6DD3" w:rsidRPr="00017495" w:rsidRDefault="003E615E" w:rsidP="00BD6DD3">
      <w:pPr>
        <w:ind w:left="0"/>
      </w:pPr>
      <w:r w:rsidRPr="00017495">
        <w:lastRenderedPageBreak/>
        <w:t xml:space="preserve">In efforts to ensure </w:t>
      </w:r>
      <w:r w:rsidR="00336120" w:rsidRPr="00017495">
        <w:t xml:space="preserve">the </w:t>
      </w:r>
      <w:r w:rsidRPr="00017495">
        <w:t>reasonableness, necessity and allowability of proposed uses of funds,</w:t>
      </w:r>
      <w:r w:rsidR="00AE132C" w:rsidRPr="00017495">
        <w:t xml:space="preserve"> </w:t>
      </w:r>
      <w:r w:rsidR="002C15FE" w:rsidRPr="00017495">
        <w:t>ICJIA</w:t>
      </w:r>
      <w:r w:rsidR="00BD6DD3" w:rsidRPr="00017495">
        <w:t>:</w:t>
      </w:r>
    </w:p>
    <w:p w14:paraId="1A570738" w14:textId="77777777" w:rsidR="00BD6DD3" w:rsidRPr="00017495" w:rsidRDefault="00BD6DD3" w:rsidP="00BD6DD3">
      <w:pPr>
        <w:ind w:left="360"/>
      </w:pPr>
    </w:p>
    <w:p w14:paraId="17BCB7E1" w14:textId="6DB83E9E" w:rsidR="00BD6DD3" w:rsidRPr="00017495" w:rsidRDefault="00BD6DD3" w:rsidP="00BD6DD3">
      <w:pPr>
        <w:ind w:left="360"/>
      </w:pPr>
      <w:r w:rsidRPr="00017495">
        <w:t xml:space="preserve">(1) </w:t>
      </w:r>
      <w:r w:rsidR="002E773D" w:rsidRPr="00017495">
        <w:t>Requires</w:t>
      </w:r>
      <w:r w:rsidR="00AE79B4" w:rsidRPr="00017495">
        <w:t xml:space="preserve"> prior written approval of </w:t>
      </w:r>
      <w:r w:rsidR="0068198E">
        <w:t>o</w:t>
      </w:r>
      <w:r w:rsidR="0068198E" w:rsidRPr="00017495">
        <w:t>ut</w:t>
      </w:r>
      <w:r w:rsidR="0068198E">
        <w:t>-</w:t>
      </w:r>
      <w:r w:rsidR="00EB6C8D" w:rsidRPr="00017495">
        <w:t>of</w:t>
      </w:r>
      <w:r w:rsidR="0068198E">
        <w:t>-s</w:t>
      </w:r>
      <w:r w:rsidR="00EB6C8D" w:rsidRPr="00017495">
        <w:t>tate travel</w:t>
      </w:r>
      <w:r w:rsidRPr="00017495">
        <w:t xml:space="preserve">. </w:t>
      </w:r>
    </w:p>
    <w:p w14:paraId="3DE6DF9F" w14:textId="555F7184" w:rsidR="00BD6DD3" w:rsidRPr="00017495" w:rsidRDefault="00BD6DD3" w:rsidP="00BD6DD3">
      <w:pPr>
        <w:ind w:left="360"/>
      </w:pPr>
      <w:r w:rsidRPr="00017495">
        <w:t xml:space="preserve">(2) Requires prior written approval of </w:t>
      </w:r>
      <w:r w:rsidR="00EB6C8D" w:rsidRPr="00017495">
        <w:t>equipment over $5,000.</w:t>
      </w:r>
      <w:r w:rsidRPr="00017495">
        <w:t xml:space="preserve"> </w:t>
      </w:r>
      <w:r w:rsidR="00EB6C8D" w:rsidRPr="00017495">
        <w:t>P</w:t>
      </w:r>
      <w:r w:rsidRPr="00017495">
        <w:t>rior approvals may affect project timelines.</w:t>
      </w:r>
    </w:p>
    <w:p w14:paraId="045CEC67" w14:textId="38ACAB87" w:rsidR="00E37D1D" w:rsidRDefault="00BD6DD3" w:rsidP="00BD6DD3">
      <w:pPr>
        <w:ind w:left="360"/>
      </w:pPr>
      <w:r w:rsidRPr="00017495">
        <w:t xml:space="preserve">(3) </w:t>
      </w:r>
      <w:r w:rsidR="003E615E" w:rsidRPr="00017495">
        <w:t xml:space="preserve">Requires prior written approval of </w:t>
      </w:r>
      <w:r w:rsidR="00AE79B4" w:rsidRPr="00017495">
        <w:t>Requests for Proposals and all subcontracts.</w:t>
      </w:r>
      <w:r w:rsidR="00F63021">
        <w:t xml:space="preserve"> </w:t>
      </w:r>
      <w:r w:rsidR="00F63021" w:rsidRPr="00017495">
        <w:t>Prior approvals may affect project timelines.</w:t>
      </w:r>
      <w:r w:rsidR="00F63021">
        <w:t xml:space="preserve"> Requests for Proposals </w:t>
      </w:r>
      <w:r w:rsidR="00E37D1D">
        <w:t>and subcontracts may only be executed and have an effective date after final approval by ICJIA</w:t>
      </w:r>
      <w:r w:rsidR="00B03478">
        <w:t>.</w:t>
      </w:r>
    </w:p>
    <w:p w14:paraId="61246766" w14:textId="2ED13D44" w:rsidR="00AE79B4" w:rsidRPr="00C346D9" w:rsidRDefault="00E37D1D" w:rsidP="00922267">
      <w:pPr>
        <w:pStyle w:val="Default"/>
        <w:ind w:left="360"/>
      </w:pPr>
      <w:r w:rsidRPr="00C346D9">
        <w:rPr>
          <w:rFonts w:ascii="Times New Roman" w:hAnsi="Times New Roman" w:cs="Times New Roman"/>
        </w:rPr>
        <w:t xml:space="preserve">(4) </w:t>
      </w:r>
      <w:r w:rsidR="00346337" w:rsidRPr="00922267">
        <w:rPr>
          <w:rFonts w:ascii="Times New Roman" w:hAnsi="Times New Roman" w:cs="Times New Roman"/>
        </w:rPr>
        <w:t>Requires prior written approval of conference, meeting, and training costs for grant recipients. These prior approvals may affect project timelines.</w:t>
      </w:r>
    </w:p>
    <w:p w14:paraId="55EA82AE" w14:textId="77777777" w:rsidR="00BD6DD3" w:rsidRPr="00017495" w:rsidRDefault="00BD6DD3" w:rsidP="00BD6DD3">
      <w:pPr>
        <w:ind w:left="1080"/>
        <w:rPr>
          <w:sz w:val="28"/>
          <w:szCs w:val="28"/>
        </w:rPr>
      </w:pPr>
    </w:p>
    <w:p w14:paraId="49E1A766" w14:textId="53CB804D" w:rsidR="00F07175" w:rsidRPr="00017495" w:rsidRDefault="00983BB4" w:rsidP="00F07175">
      <w:pPr>
        <w:ind w:left="0"/>
      </w:pPr>
      <w:r>
        <w:t xml:space="preserve">Submission of these </w:t>
      </w:r>
      <w:r w:rsidR="00F07175" w:rsidRPr="00017495">
        <w:t xml:space="preserve">materials </w:t>
      </w:r>
      <w:r>
        <w:t xml:space="preserve">for ICJIA review </w:t>
      </w:r>
      <w:r w:rsidR="00F07175" w:rsidRPr="00017495">
        <w:t xml:space="preserve">should be incorporated into </w:t>
      </w:r>
      <w:r>
        <w:t xml:space="preserve">the </w:t>
      </w:r>
      <w:r w:rsidR="00F07175" w:rsidRPr="00017495">
        <w:t>application Implementation Schedule.</w:t>
      </w:r>
    </w:p>
    <w:p w14:paraId="671C75D7" w14:textId="77777777" w:rsidR="00F07175" w:rsidRPr="00017495" w:rsidRDefault="00F07175" w:rsidP="00BD6DD3">
      <w:pPr>
        <w:ind w:left="1080"/>
        <w:rPr>
          <w:sz w:val="28"/>
          <w:szCs w:val="28"/>
        </w:rPr>
      </w:pPr>
    </w:p>
    <w:p w14:paraId="20A420D5" w14:textId="77777777" w:rsidR="00CC6444" w:rsidRPr="00017495" w:rsidRDefault="00CC6444" w:rsidP="00E60526">
      <w:pPr>
        <w:ind w:left="0"/>
        <w:rPr>
          <w:u w:val="single"/>
        </w:rPr>
      </w:pPr>
      <w:r w:rsidRPr="00017495">
        <w:rPr>
          <w:u w:val="single"/>
        </w:rPr>
        <w:t>State Travel Guidelines</w:t>
      </w:r>
    </w:p>
    <w:p w14:paraId="3033E774" w14:textId="77777777" w:rsidR="0038685E" w:rsidRDefault="0038685E" w:rsidP="00E60526">
      <w:pPr>
        <w:ind w:left="0"/>
      </w:pPr>
    </w:p>
    <w:p w14:paraId="71DD2606" w14:textId="33156AE8" w:rsidR="00CC6444" w:rsidRDefault="00CC6444" w:rsidP="00E60526">
      <w:pPr>
        <w:ind w:left="0"/>
      </w:pPr>
      <w:r w:rsidRPr="00017495">
        <w:t xml:space="preserve">All travel costs charged to </w:t>
      </w:r>
      <w:r w:rsidR="002C15FE" w:rsidRPr="00017495">
        <w:t>ICJIA</w:t>
      </w:r>
      <w:r w:rsidRPr="00017495">
        <w:t xml:space="preserve"> per contractual agreement must conform to State Travel Guidelines, which may be found here: </w:t>
      </w:r>
    </w:p>
    <w:p w14:paraId="0A041A79" w14:textId="5A7C7812" w:rsidR="00780B52" w:rsidRPr="00017495" w:rsidRDefault="00903F62" w:rsidP="007239FA">
      <w:pPr>
        <w:ind w:left="0"/>
        <w:rPr>
          <w:rStyle w:val="Hyperlink"/>
        </w:rPr>
      </w:pPr>
      <w:hyperlink r:id="rId24" w:history="1">
        <w:r w:rsidR="007239FA" w:rsidRPr="00C43A2F">
          <w:rPr>
            <w:rStyle w:val="Hyperlink"/>
          </w:rPr>
          <w:t>https://www2.illinois.gov/cms/Employees/travel/Pages/TravelReimbursement.aspx</w:t>
        </w:r>
      </w:hyperlink>
      <w:r w:rsidR="007239FA">
        <w:t xml:space="preserve"> </w:t>
      </w:r>
    </w:p>
    <w:p w14:paraId="4C0897AF" w14:textId="77777777" w:rsidR="00CC6444" w:rsidRPr="00017495" w:rsidRDefault="00CC6444" w:rsidP="00E60526">
      <w:pPr>
        <w:ind w:left="0"/>
        <w:rPr>
          <w:rStyle w:val="Hyperlink"/>
        </w:rPr>
      </w:pPr>
    </w:p>
    <w:p w14:paraId="00AFF6CF" w14:textId="77777777" w:rsidR="00CC6444" w:rsidRPr="00017495" w:rsidRDefault="00CC6444" w:rsidP="00E60526">
      <w:pPr>
        <w:ind w:left="0"/>
      </w:pPr>
      <w:r w:rsidRPr="00017495">
        <w:t>Applicant agencies with lower cost travel guidelines must use those lower rates.</w:t>
      </w:r>
    </w:p>
    <w:p w14:paraId="799C1BB1" w14:textId="77777777" w:rsidR="00CC6444" w:rsidRPr="00017495" w:rsidRDefault="00CC6444" w:rsidP="00E60526">
      <w:pPr>
        <w:ind w:left="0"/>
      </w:pPr>
    </w:p>
    <w:p w14:paraId="6E70B517" w14:textId="3C8A8298" w:rsidR="00BD6DD3" w:rsidRPr="00017495" w:rsidRDefault="00AC2A95" w:rsidP="00BD6DD3">
      <w:pPr>
        <w:ind w:left="0"/>
        <w:rPr>
          <w:sz w:val="28"/>
          <w:szCs w:val="28"/>
        </w:rPr>
      </w:pPr>
      <w:r>
        <w:rPr>
          <w:b/>
          <w:sz w:val="28"/>
          <w:szCs w:val="28"/>
        </w:rPr>
        <w:t>H</w:t>
      </w:r>
      <w:r w:rsidR="00BD6DD3" w:rsidRPr="00017495">
        <w:rPr>
          <w:b/>
          <w:sz w:val="28"/>
          <w:szCs w:val="28"/>
        </w:rPr>
        <w:t>. Application Information</w:t>
      </w:r>
      <w:r w:rsidR="00BD6DD3" w:rsidRPr="00017495">
        <w:rPr>
          <w:b/>
          <w:sz w:val="28"/>
          <w:szCs w:val="28"/>
        </w:rPr>
        <w:br/>
      </w:r>
    </w:p>
    <w:p w14:paraId="70BD7095" w14:textId="28C0E10E" w:rsidR="0038685E" w:rsidRDefault="00BD6DD3" w:rsidP="00C03701">
      <w:pPr>
        <w:ind w:left="0"/>
        <w:rPr>
          <w:szCs w:val="28"/>
        </w:rPr>
      </w:pPr>
      <w:r w:rsidRPr="00C03701">
        <w:rPr>
          <w:b/>
          <w:i/>
          <w:szCs w:val="28"/>
        </w:rPr>
        <w:t>Criteria</w:t>
      </w:r>
      <w:r w:rsidRPr="00C03701">
        <w:rPr>
          <w:szCs w:val="28"/>
        </w:rPr>
        <w:t xml:space="preserve"> </w:t>
      </w:r>
    </w:p>
    <w:p w14:paraId="2E9502AF" w14:textId="77777777" w:rsidR="0038685E" w:rsidRPr="00C03701" w:rsidRDefault="0038685E" w:rsidP="00C03701">
      <w:pPr>
        <w:rPr>
          <w:szCs w:val="28"/>
        </w:rPr>
      </w:pPr>
    </w:p>
    <w:p w14:paraId="5F2E2A6B" w14:textId="7507A675" w:rsidR="00732F7B" w:rsidRPr="00017495" w:rsidRDefault="00732F7B" w:rsidP="00E60526">
      <w:pPr>
        <w:widowControl w:val="0"/>
        <w:ind w:left="0"/>
        <w:jc w:val="both"/>
      </w:pPr>
      <w:r w:rsidRPr="00017495">
        <w:t>Application materials must address all components of th</w:t>
      </w:r>
      <w:r w:rsidR="00FA5AC2" w:rsidRPr="00017495">
        <w:t>is Notice of Funding Opportunity</w:t>
      </w:r>
      <w:r w:rsidRPr="00017495">
        <w:t xml:space="preserve"> and demonstrate both a need for the program and an ability to successfully implement the program. Application selection will be made using the following criteria. </w:t>
      </w:r>
    </w:p>
    <w:p w14:paraId="416AE790" w14:textId="77777777" w:rsidR="006A60DD" w:rsidRDefault="006A60DD" w:rsidP="00C03701">
      <w:pPr>
        <w:ind w:left="0"/>
      </w:pPr>
    </w:p>
    <w:p w14:paraId="6602B9D0" w14:textId="554489E5" w:rsidR="00732F7B" w:rsidRPr="00017495" w:rsidRDefault="00732F7B" w:rsidP="00C03701">
      <w:pPr>
        <w:ind w:left="0"/>
      </w:pPr>
      <w:r w:rsidRPr="00017495">
        <w:t xml:space="preserve">The total number of points available is 100. </w:t>
      </w:r>
    </w:p>
    <w:p w14:paraId="11BE347D" w14:textId="24F100FA" w:rsidR="009D6F3D" w:rsidRDefault="009D6F3D">
      <w:pPr>
        <w:ind w:left="0"/>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7"/>
        <w:gridCol w:w="1231"/>
        <w:gridCol w:w="1416"/>
      </w:tblGrid>
      <w:tr w:rsidR="00A15726" w:rsidRPr="00017495" w14:paraId="3764A78A" w14:textId="77777777" w:rsidTr="00482312">
        <w:tc>
          <w:tcPr>
            <w:tcW w:w="6607"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6C450242" w14:textId="77777777" w:rsidR="00A15726" w:rsidRPr="002076A5" w:rsidRDefault="00A15726" w:rsidP="00335ADD">
            <w:pPr>
              <w:widowControl w:val="0"/>
              <w:jc w:val="center"/>
              <w:rPr>
                <w:b/>
                <w:snapToGrid w:val="0"/>
              </w:rPr>
            </w:pPr>
            <w:r w:rsidRPr="002076A5">
              <w:rPr>
                <w:b/>
                <w:i/>
                <w:snapToGrid w:val="0"/>
              </w:rPr>
              <w:br w:type="page"/>
            </w:r>
            <w:r w:rsidRPr="002076A5">
              <w:rPr>
                <w:b/>
                <w:snapToGrid w:val="0"/>
              </w:rPr>
              <w:t>Scoring Criteria</w:t>
            </w:r>
          </w:p>
        </w:tc>
        <w:tc>
          <w:tcPr>
            <w:tcW w:w="1231"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2E748BE6" w14:textId="77777777" w:rsidR="00A15726" w:rsidRPr="002076A5" w:rsidRDefault="00A15726" w:rsidP="00335ADD">
            <w:pPr>
              <w:widowControl w:val="0"/>
              <w:ind w:left="0"/>
              <w:jc w:val="center"/>
              <w:rPr>
                <w:b/>
                <w:snapToGrid w:val="0"/>
              </w:rPr>
            </w:pPr>
            <w:r w:rsidRPr="002076A5">
              <w:rPr>
                <w:b/>
                <w:snapToGrid w:val="0"/>
              </w:rPr>
              <w:t>Possible Points</w:t>
            </w:r>
          </w:p>
        </w:tc>
        <w:tc>
          <w:tcPr>
            <w:tcW w:w="1416"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4827BC03" w14:textId="77777777" w:rsidR="00A15726" w:rsidRPr="002076A5" w:rsidRDefault="00A15726" w:rsidP="00335ADD">
            <w:pPr>
              <w:widowControl w:val="0"/>
              <w:jc w:val="center"/>
              <w:rPr>
                <w:b/>
                <w:snapToGrid w:val="0"/>
              </w:rPr>
            </w:pPr>
          </w:p>
        </w:tc>
      </w:tr>
      <w:tr w:rsidR="00A15726" w:rsidRPr="00017495" w14:paraId="39E93FCA" w14:textId="77777777" w:rsidTr="00482312">
        <w:trPr>
          <w:trHeight w:val="390"/>
        </w:trPr>
        <w:tc>
          <w:tcPr>
            <w:tcW w:w="7838" w:type="dxa"/>
            <w:gridSpan w:val="2"/>
            <w:tcBorders>
              <w:top w:val="thinThickLargeGap" w:sz="24" w:space="0" w:color="auto"/>
              <w:bottom w:val="single" w:sz="4" w:space="0" w:color="auto"/>
            </w:tcBorders>
            <w:shd w:val="clear" w:color="auto" w:fill="auto"/>
          </w:tcPr>
          <w:p w14:paraId="2B7C3AEA" w14:textId="77777777" w:rsidR="00A15726" w:rsidRPr="002076A5" w:rsidRDefault="00A15726" w:rsidP="00A15726">
            <w:pPr>
              <w:widowControl w:val="0"/>
              <w:ind w:left="0"/>
              <w:rPr>
                <w:snapToGrid w:val="0"/>
              </w:rPr>
            </w:pPr>
            <w:r w:rsidRPr="002076A5">
              <w:rPr>
                <w:b/>
                <w:snapToGrid w:val="0"/>
              </w:rPr>
              <w:t>Summary of the Program:</w:t>
            </w:r>
            <w:r w:rsidRPr="002076A5">
              <w:rPr>
                <w:snapToGrid w:val="0"/>
              </w:rPr>
              <w:t xml:space="preserve"> </w:t>
            </w:r>
          </w:p>
        </w:tc>
        <w:tc>
          <w:tcPr>
            <w:tcW w:w="1416" w:type="dxa"/>
            <w:tcBorders>
              <w:top w:val="thinThickLargeGap" w:sz="24" w:space="0" w:color="auto"/>
              <w:bottom w:val="single" w:sz="4" w:space="0" w:color="auto"/>
            </w:tcBorders>
          </w:tcPr>
          <w:p w14:paraId="57ECFE6B" w14:textId="77777777" w:rsidR="00A15726" w:rsidRPr="002076A5" w:rsidRDefault="00A15726" w:rsidP="00335ADD">
            <w:pPr>
              <w:widowControl w:val="0"/>
              <w:jc w:val="center"/>
              <w:rPr>
                <w:b/>
                <w:snapToGrid w:val="0"/>
              </w:rPr>
            </w:pPr>
            <w:r w:rsidRPr="002076A5">
              <w:rPr>
                <w:b/>
                <w:snapToGrid w:val="0"/>
              </w:rPr>
              <w:t>10</w:t>
            </w:r>
          </w:p>
        </w:tc>
      </w:tr>
      <w:tr w:rsidR="00A15726" w:rsidRPr="00017495" w14:paraId="3252E2F0" w14:textId="77777777" w:rsidTr="00482312">
        <w:tc>
          <w:tcPr>
            <w:tcW w:w="6607" w:type="dxa"/>
            <w:tcBorders>
              <w:top w:val="single" w:sz="4" w:space="0" w:color="auto"/>
            </w:tcBorders>
            <w:shd w:val="clear" w:color="auto" w:fill="auto"/>
          </w:tcPr>
          <w:p w14:paraId="4440F7F5" w14:textId="28D49129" w:rsidR="00A15726" w:rsidRPr="002076A5" w:rsidRDefault="00A15726" w:rsidP="008B7212">
            <w:pPr>
              <w:pStyle w:val="ListParagraph"/>
              <w:numPr>
                <w:ilvl w:val="0"/>
                <w:numId w:val="59"/>
              </w:numPr>
            </w:pPr>
            <w:r w:rsidRPr="002076A5">
              <w:t xml:space="preserve">Provides a clear, concise summary of the proposal, stating the </w:t>
            </w:r>
            <w:r w:rsidR="00531441">
              <w:t xml:space="preserve">need </w:t>
            </w:r>
            <w:r w:rsidR="00105D85">
              <w:t>to expand local alternatives to incarceration</w:t>
            </w:r>
            <w:r w:rsidR="00531441">
              <w:t>.</w:t>
            </w:r>
            <w:r w:rsidR="00761173">
              <w:t xml:space="preserve"> Includes a summary of the planning activities</w:t>
            </w:r>
            <w:r w:rsidR="00554584">
              <w:t xml:space="preserve"> and list of key partners</w:t>
            </w:r>
            <w:r w:rsidR="006E68CA">
              <w:t>.</w:t>
            </w:r>
          </w:p>
        </w:tc>
        <w:tc>
          <w:tcPr>
            <w:tcW w:w="1231" w:type="dxa"/>
            <w:tcBorders>
              <w:top w:val="single" w:sz="4" w:space="0" w:color="auto"/>
            </w:tcBorders>
            <w:shd w:val="clear" w:color="auto" w:fill="auto"/>
            <w:vAlign w:val="center"/>
          </w:tcPr>
          <w:p w14:paraId="0B75481A" w14:textId="20922966" w:rsidR="00A15726" w:rsidRPr="002076A5" w:rsidRDefault="00B03478" w:rsidP="002D3375">
            <w:pPr>
              <w:jc w:val="center"/>
            </w:pPr>
            <w:r>
              <w:t>10</w:t>
            </w:r>
          </w:p>
        </w:tc>
        <w:tc>
          <w:tcPr>
            <w:tcW w:w="1416" w:type="dxa"/>
            <w:tcBorders>
              <w:top w:val="single" w:sz="4" w:space="0" w:color="auto"/>
            </w:tcBorders>
            <w:shd w:val="clear" w:color="auto" w:fill="F2F2F2" w:themeFill="background1" w:themeFillShade="F2"/>
            <w:vAlign w:val="center"/>
          </w:tcPr>
          <w:p w14:paraId="2D5BB59C" w14:textId="77777777" w:rsidR="00A15726" w:rsidRPr="002076A5" w:rsidRDefault="00A15726" w:rsidP="00335ADD"/>
        </w:tc>
      </w:tr>
      <w:tr w:rsidR="00A15726" w:rsidRPr="00017495" w14:paraId="5D7CBAA6" w14:textId="77777777" w:rsidTr="00335ADD">
        <w:trPr>
          <w:trHeight w:val="305"/>
        </w:trPr>
        <w:tc>
          <w:tcPr>
            <w:tcW w:w="7838" w:type="dxa"/>
            <w:gridSpan w:val="2"/>
            <w:shd w:val="clear" w:color="auto" w:fill="auto"/>
            <w:vAlign w:val="center"/>
          </w:tcPr>
          <w:p w14:paraId="30D8CCAF" w14:textId="77777777" w:rsidR="00A15726" w:rsidRPr="002076A5" w:rsidRDefault="00A15726" w:rsidP="00A15726">
            <w:pPr>
              <w:widowControl w:val="0"/>
              <w:ind w:left="0"/>
              <w:rPr>
                <w:snapToGrid w:val="0"/>
              </w:rPr>
            </w:pPr>
            <w:r w:rsidRPr="002076A5">
              <w:rPr>
                <w:b/>
                <w:snapToGrid w:val="0"/>
              </w:rPr>
              <w:t>Statement of the Problem:</w:t>
            </w:r>
            <w:r w:rsidRPr="002076A5">
              <w:rPr>
                <w:snapToGrid w:val="0"/>
              </w:rPr>
              <w:t xml:space="preserve"> </w:t>
            </w:r>
          </w:p>
        </w:tc>
        <w:tc>
          <w:tcPr>
            <w:tcW w:w="1416" w:type="dxa"/>
            <w:vAlign w:val="center"/>
          </w:tcPr>
          <w:p w14:paraId="08311198" w14:textId="77777777" w:rsidR="00A15726" w:rsidRPr="002076A5" w:rsidRDefault="00A15726" w:rsidP="00335ADD">
            <w:pPr>
              <w:widowControl w:val="0"/>
              <w:jc w:val="center"/>
              <w:rPr>
                <w:b/>
                <w:snapToGrid w:val="0"/>
              </w:rPr>
            </w:pPr>
            <w:r w:rsidRPr="002076A5">
              <w:rPr>
                <w:b/>
                <w:snapToGrid w:val="0"/>
              </w:rPr>
              <w:t>20</w:t>
            </w:r>
          </w:p>
        </w:tc>
      </w:tr>
      <w:tr w:rsidR="00A15726" w:rsidRPr="00017495" w14:paraId="26C6AD60" w14:textId="77777777" w:rsidTr="00335ADD">
        <w:tc>
          <w:tcPr>
            <w:tcW w:w="6607" w:type="dxa"/>
            <w:shd w:val="clear" w:color="auto" w:fill="auto"/>
          </w:tcPr>
          <w:p w14:paraId="1511689F" w14:textId="3AD52324" w:rsidR="00A15726" w:rsidRPr="002076A5" w:rsidRDefault="00A15726" w:rsidP="008B7212">
            <w:pPr>
              <w:pStyle w:val="ListParagraph"/>
              <w:widowControl w:val="0"/>
              <w:numPr>
                <w:ilvl w:val="0"/>
                <w:numId w:val="17"/>
              </w:numPr>
              <w:rPr>
                <w:b/>
                <w:snapToGrid w:val="0"/>
              </w:rPr>
            </w:pPr>
            <w:r w:rsidRPr="002076A5">
              <w:rPr>
                <w:snapToGrid w:val="0"/>
              </w:rPr>
              <w:lastRenderedPageBreak/>
              <w:t xml:space="preserve">Identifies </w:t>
            </w:r>
            <w:r w:rsidR="00761173">
              <w:rPr>
                <w:snapToGrid w:val="0"/>
              </w:rPr>
              <w:t xml:space="preserve">gaps in the jurisdiction’s justice system and health and human services capacity </w:t>
            </w:r>
            <w:r w:rsidR="006A1A67">
              <w:rPr>
                <w:snapToGrid w:val="0"/>
              </w:rPr>
              <w:t>affecting the ability to expand a</w:t>
            </w:r>
            <w:r w:rsidR="00AA5B92">
              <w:rPr>
                <w:snapToGrid w:val="0"/>
              </w:rPr>
              <w:t>lternative</w:t>
            </w:r>
            <w:r w:rsidR="006A1A67">
              <w:rPr>
                <w:snapToGrid w:val="0"/>
              </w:rPr>
              <w:t>s</w:t>
            </w:r>
            <w:r w:rsidR="00AA5B92">
              <w:rPr>
                <w:snapToGrid w:val="0"/>
              </w:rPr>
              <w:t xml:space="preserve"> to incarceration.</w:t>
            </w:r>
          </w:p>
        </w:tc>
        <w:tc>
          <w:tcPr>
            <w:tcW w:w="1231" w:type="dxa"/>
            <w:shd w:val="clear" w:color="auto" w:fill="auto"/>
            <w:vAlign w:val="center"/>
          </w:tcPr>
          <w:p w14:paraId="57E747F8" w14:textId="76A60E23" w:rsidR="00A15726" w:rsidRPr="002076A5" w:rsidRDefault="00B03478" w:rsidP="00335ADD">
            <w:pPr>
              <w:widowControl w:val="0"/>
              <w:jc w:val="center"/>
              <w:rPr>
                <w:snapToGrid w:val="0"/>
              </w:rPr>
            </w:pPr>
            <w:r>
              <w:rPr>
                <w:snapToGrid w:val="0"/>
              </w:rPr>
              <w:t>10</w:t>
            </w:r>
          </w:p>
        </w:tc>
        <w:tc>
          <w:tcPr>
            <w:tcW w:w="1416" w:type="dxa"/>
            <w:shd w:val="clear" w:color="auto" w:fill="F2F2F2" w:themeFill="background1" w:themeFillShade="F2"/>
            <w:vAlign w:val="center"/>
          </w:tcPr>
          <w:p w14:paraId="5EC0D560" w14:textId="77777777" w:rsidR="00A15726" w:rsidRPr="002076A5" w:rsidRDefault="00A15726" w:rsidP="00335ADD">
            <w:pPr>
              <w:widowControl w:val="0"/>
              <w:jc w:val="center"/>
              <w:rPr>
                <w:snapToGrid w:val="0"/>
              </w:rPr>
            </w:pPr>
          </w:p>
        </w:tc>
      </w:tr>
      <w:tr w:rsidR="00A15726" w:rsidRPr="00017495" w14:paraId="559F8638" w14:textId="77777777" w:rsidTr="00335ADD">
        <w:tc>
          <w:tcPr>
            <w:tcW w:w="6607" w:type="dxa"/>
            <w:shd w:val="clear" w:color="auto" w:fill="auto"/>
          </w:tcPr>
          <w:p w14:paraId="2EF60C20" w14:textId="30260E4E" w:rsidR="00A15726" w:rsidRPr="002076A5" w:rsidRDefault="00A15726" w:rsidP="008B7212">
            <w:pPr>
              <w:pStyle w:val="ListParagraph"/>
              <w:widowControl w:val="0"/>
              <w:numPr>
                <w:ilvl w:val="0"/>
                <w:numId w:val="17"/>
              </w:numPr>
              <w:rPr>
                <w:b/>
                <w:snapToGrid w:val="0"/>
              </w:rPr>
            </w:pPr>
            <w:r w:rsidRPr="002076A5">
              <w:rPr>
                <w:snapToGrid w:val="0"/>
              </w:rPr>
              <w:t xml:space="preserve">Describes why the jurisdiction </w:t>
            </w:r>
            <w:r w:rsidR="00105D85">
              <w:rPr>
                <w:snapToGrid w:val="0"/>
              </w:rPr>
              <w:t>needs additional resources</w:t>
            </w:r>
            <w:r w:rsidRPr="002076A5">
              <w:rPr>
                <w:snapToGrid w:val="0"/>
              </w:rPr>
              <w:t xml:space="preserve"> to </w:t>
            </w:r>
            <w:r w:rsidR="0040711A">
              <w:rPr>
                <w:snapToGrid w:val="0"/>
              </w:rPr>
              <w:t>support the planning process</w:t>
            </w:r>
            <w:r w:rsidRPr="002076A5">
              <w:rPr>
                <w:snapToGrid w:val="0"/>
              </w:rPr>
              <w:t>.</w:t>
            </w:r>
          </w:p>
        </w:tc>
        <w:tc>
          <w:tcPr>
            <w:tcW w:w="1231" w:type="dxa"/>
            <w:shd w:val="clear" w:color="auto" w:fill="auto"/>
            <w:vAlign w:val="center"/>
          </w:tcPr>
          <w:p w14:paraId="303BEFB5" w14:textId="5B794F25" w:rsidR="00A15726" w:rsidRPr="002076A5" w:rsidRDefault="00B03478" w:rsidP="00335ADD">
            <w:pPr>
              <w:widowControl w:val="0"/>
              <w:jc w:val="center"/>
              <w:rPr>
                <w:snapToGrid w:val="0"/>
              </w:rPr>
            </w:pPr>
            <w:r>
              <w:rPr>
                <w:snapToGrid w:val="0"/>
              </w:rPr>
              <w:t>10</w:t>
            </w:r>
          </w:p>
        </w:tc>
        <w:tc>
          <w:tcPr>
            <w:tcW w:w="1416" w:type="dxa"/>
            <w:shd w:val="clear" w:color="auto" w:fill="F2F2F2" w:themeFill="background1" w:themeFillShade="F2"/>
            <w:vAlign w:val="center"/>
          </w:tcPr>
          <w:p w14:paraId="0667C28E" w14:textId="77777777" w:rsidR="00A15726" w:rsidRPr="002076A5" w:rsidRDefault="00A15726" w:rsidP="00335ADD">
            <w:pPr>
              <w:widowControl w:val="0"/>
              <w:jc w:val="center"/>
              <w:rPr>
                <w:snapToGrid w:val="0"/>
              </w:rPr>
            </w:pPr>
          </w:p>
        </w:tc>
      </w:tr>
      <w:tr w:rsidR="00A15726" w:rsidRPr="00017495" w14:paraId="4532C359" w14:textId="77777777" w:rsidTr="00335ADD">
        <w:tc>
          <w:tcPr>
            <w:tcW w:w="7838" w:type="dxa"/>
            <w:gridSpan w:val="2"/>
            <w:shd w:val="clear" w:color="auto" w:fill="auto"/>
            <w:vAlign w:val="center"/>
          </w:tcPr>
          <w:p w14:paraId="63ECFADE" w14:textId="77777777" w:rsidR="00A15726" w:rsidRPr="002076A5" w:rsidRDefault="00A15726" w:rsidP="00A15726">
            <w:pPr>
              <w:widowControl w:val="0"/>
              <w:ind w:left="0"/>
              <w:rPr>
                <w:snapToGrid w:val="0"/>
              </w:rPr>
            </w:pPr>
            <w:r w:rsidRPr="002076A5">
              <w:rPr>
                <w:b/>
                <w:snapToGrid w:val="0"/>
              </w:rPr>
              <w:t>Key Partners:</w:t>
            </w:r>
            <w:r w:rsidRPr="002076A5">
              <w:rPr>
                <w:snapToGrid w:val="0"/>
              </w:rPr>
              <w:t xml:space="preserve"> </w:t>
            </w:r>
          </w:p>
        </w:tc>
        <w:tc>
          <w:tcPr>
            <w:tcW w:w="1416" w:type="dxa"/>
            <w:vAlign w:val="center"/>
          </w:tcPr>
          <w:p w14:paraId="1560FF67" w14:textId="6BF3D346" w:rsidR="00A15726" w:rsidRPr="002076A5" w:rsidRDefault="00A15726" w:rsidP="00335ADD">
            <w:pPr>
              <w:widowControl w:val="0"/>
              <w:jc w:val="center"/>
              <w:rPr>
                <w:b/>
                <w:snapToGrid w:val="0"/>
              </w:rPr>
            </w:pPr>
            <w:r w:rsidRPr="002076A5">
              <w:rPr>
                <w:b/>
                <w:snapToGrid w:val="0"/>
              </w:rPr>
              <w:t>1</w:t>
            </w:r>
            <w:r w:rsidR="00954B67">
              <w:rPr>
                <w:b/>
                <w:snapToGrid w:val="0"/>
              </w:rPr>
              <w:t>5</w:t>
            </w:r>
          </w:p>
        </w:tc>
      </w:tr>
      <w:tr w:rsidR="00C13A0D" w:rsidRPr="00017495" w14:paraId="522A671C" w14:textId="77777777" w:rsidTr="00335ADD">
        <w:tc>
          <w:tcPr>
            <w:tcW w:w="6607" w:type="dxa"/>
            <w:shd w:val="clear" w:color="auto" w:fill="auto"/>
          </w:tcPr>
          <w:p w14:paraId="477CF843" w14:textId="21964DE1" w:rsidR="00C13A0D" w:rsidRPr="002076A5" w:rsidRDefault="00C13A0D">
            <w:pPr>
              <w:pStyle w:val="ListParagraph"/>
              <w:widowControl w:val="0"/>
              <w:numPr>
                <w:ilvl w:val="0"/>
                <w:numId w:val="17"/>
              </w:numPr>
              <w:rPr>
                <w:snapToGrid w:val="0"/>
              </w:rPr>
            </w:pPr>
            <w:r w:rsidRPr="00974173">
              <w:t>Lists members of a multi-disciplinary team</w:t>
            </w:r>
            <w:r w:rsidR="0037171C">
              <w:t xml:space="preserve"> </w:t>
            </w:r>
            <w:r w:rsidR="006E68CA">
              <w:t>(</w:t>
            </w:r>
            <w:r w:rsidR="0037171C">
              <w:t>MDT</w:t>
            </w:r>
            <w:r w:rsidRPr="00974173">
              <w:t>) guid</w:t>
            </w:r>
            <w:r w:rsidR="001611DA">
              <w:t>ing program planning and implementation</w:t>
            </w:r>
            <w:r w:rsidR="006E68CA">
              <w:t>.</w:t>
            </w:r>
            <w:r w:rsidR="001611DA">
              <w:t xml:space="preserve"> </w:t>
            </w:r>
          </w:p>
        </w:tc>
        <w:tc>
          <w:tcPr>
            <w:tcW w:w="1231" w:type="dxa"/>
            <w:shd w:val="clear" w:color="auto" w:fill="auto"/>
            <w:vAlign w:val="center"/>
          </w:tcPr>
          <w:p w14:paraId="204CEE65" w14:textId="5AE719E8" w:rsidR="00C13A0D" w:rsidRPr="002076A5" w:rsidRDefault="00C13A0D" w:rsidP="00C13A0D">
            <w:pPr>
              <w:widowControl w:val="0"/>
              <w:ind w:left="0"/>
              <w:rPr>
                <w:snapToGrid w:val="0"/>
              </w:rPr>
            </w:pPr>
            <w:r>
              <w:rPr>
                <w:snapToGrid w:val="0"/>
              </w:rPr>
              <w:t>5</w:t>
            </w:r>
          </w:p>
        </w:tc>
        <w:tc>
          <w:tcPr>
            <w:tcW w:w="1416" w:type="dxa"/>
            <w:shd w:val="clear" w:color="auto" w:fill="F2F2F2" w:themeFill="background1" w:themeFillShade="F2"/>
            <w:vAlign w:val="center"/>
          </w:tcPr>
          <w:p w14:paraId="42625A2E" w14:textId="77777777" w:rsidR="00C13A0D" w:rsidRPr="002076A5" w:rsidRDefault="00C13A0D" w:rsidP="00C13A0D">
            <w:pPr>
              <w:widowControl w:val="0"/>
              <w:jc w:val="center"/>
              <w:rPr>
                <w:snapToGrid w:val="0"/>
              </w:rPr>
            </w:pPr>
          </w:p>
        </w:tc>
      </w:tr>
      <w:tr w:rsidR="001611DA" w:rsidRPr="00017495" w14:paraId="62FC2E3E" w14:textId="77777777" w:rsidTr="00335ADD">
        <w:tc>
          <w:tcPr>
            <w:tcW w:w="6607" w:type="dxa"/>
            <w:shd w:val="clear" w:color="auto" w:fill="auto"/>
          </w:tcPr>
          <w:p w14:paraId="4AAAA49E" w14:textId="2844DCEE" w:rsidR="001611DA" w:rsidRPr="00974173" w:rsidRDefault="001611DA" w:rsidP="00A6754F">
            <w:pPr>
              <w:pStyle w:val="ListParagraph"/>
              <w:widowControl w:val="0"/>
              <w:numPr>
                <w:ilvl w:val="0"/>
                <w:numId w:val="17"/>
              </w:numPr>
            </w:pPr>
            <w:r>
              <w:t>D</w:t>
            </w:r>
            <w:r w:rsidRPr="00974173">
              <w:t xml:space="preserve">escribes the </w:t>
            </w:r>
            <w:r w:rsidR="00AA5B92">
              <w:t xml:space="preserve">membership and </w:t>
            </w:r>
            <w:r w:rsidRPr="00974173">
              <w:t xml:space="preserve">roles </w:t>
            </w:r>
            <w:r w:rsidR="00954B67">
              <w:t xml:space="preserve">of the MDT members </w:t>
            </w:r>
            <w:r w:rsidRPr="00974173">
              <w:t xml:space="preserve">in the </w:t>
            </w:r>
            <w:r w:rsidR="00954B67">
              <w:t xml:space="preserve">planning </w:t>
            </w:r>
            <w:r w:rsidRPr="00974173">
              <w:t>process.</w:t>
            </w:r>
          </w:p>
        </w:tc>
        <w:tc>
          <w:tcPr>
            <w:tcW w:w="1231" w:type="dxa"/>
            <w:shd w:val="clear" w:color="auto" w:fill="auto"/>
            <w:vAlign w:val="center"/>
          </w:tcPr>
          <w:p w14:paraId="0F7A2AAD" w14:textId="7744127D" w:rsidR="001611DA" w:rsidRDefault="00954B67" w:rsidP="00C13A0D">
            <w:pPr>
              <w:widowControl w:val="0"/>
              <w:ind w:left="0"/>
              <w:rPr>
                <w:snapToGrid w:val="0"/>
              </w:rPr>
            </w:pPr>
            <w:r>
              <w:rPr>
                <w:snapToGrid w:val="0"/>
              </w:rPr>
              <w:t>5</w:t>
            </w:r>
          </w:p>
        </w:tc>
        <w:tc>
          <w:tcPr>
            <w:tcW w:w="1416" w:type="dxa"/>
            <w:shd w:val="clear" w:color="auto" w:fill="F2F2F2" w:themeFill="background1" w:themeFillShade="F2"/>
            <w:vAlign w:val="center"/>
          </w:tcPr>
          <w:p w14:paraId="5CC3EA30" w14:textId="77777777" w:rsidR="001611DA" w:rsidRPr="002076A5" w:rsidRDefault="001611DA" w:rsidP="00C13A0D">
            <w:pPr>
              <w:widowControl w:val="0"/>
              <w:jc w:val="center"/>
              <w:rPr>
                <w:snapToGrid w:val="0"/>
              </w:rPr>
            </w:pPr>
          </w:p>
        </w:tc>
      </w:tr>
      <w:tr w:rsidR="00C13A0D" w:rsidRPr="00017495" w14:paraId="0DEEDA35" w14:textId="77777777" w:rsidTr="008B7212">
        <w:trPr>
          <w:trHeight w:val="593"/>
        </w:trPr>
        <w:tc>
          <w:tcPr>
            <w:tcW w:w="6607" w:type="dxa"/>
            <w:shd w:val="clear" w:color="auto" w:fill="auto"/>
          </w:tcPr>
          <w:p w14:paraId="32067308" w14:textId="74DC595E" w:rsidR="00C13A0D" w:rsidRPr="002076A5" w:rsidRDefault="00C13A0D" w:rsidP="008B7212">
            <w:pPr>
              <w:pStyle w:val="ListParagraph"/>
              <w:widowControl w:val="0"/>
              <w:numPr>
                <w:ilvl w:val="0"/>
                <w:numId w:val="17"/>
              </w:numPr>
              <w:rPr>
                <w:snapToGrid w:val="0"/>
              </w:rPr>
            </w:pPr>
            <w:r w:rsidRPr="00974173">
              <w:t>Includes letters of support from key stakeholders, including principal partners in the justice system.</w:t>
            </w:r>
          </w:p>
        </w:tc>
        <w:tc>
          <w:tcPr>
            <w:tcW w:w="1231" w:type="dxa"/>
            <w:shd w:val="clear" w:color="auto" w:fill="auto"/>
            <w:vAlign w:val="center"/>
          </w:tcPr>
          <w:p w14:paraId="3C77C25D" w14:textId="4C48C136" w:rsidR="00C13A0D" w:rsidRPr="002076A5" w:rsidRDefault="00C13A0D" w:rsidP="00C13A0D">
            <w:pPr>
              <w:widowControl w:val="0"/>
              <w:ind w:left="0"/>
              <w:rPr>
                <w:snapToGrid w:val="0"/>
              </w:rPr>
            </w:pPr>
            <w:r>
              <w:rPr>
                <w:snapToGrid w:val="0"/>
              </w:rPr>
              <w:t>5</w:t>
            </w:r>
          </w:p>
        </w:tc>
        <w:tc>
          <w:tcPr>
            <w:tcW w:w="1416" w:type="dxa"/>
            <w:shd w:val="clear" w:color="auto" w:fill="F2F2F2" w:themeFill="background1" w:themeFillShade="F2"/>
            <w:vAlign w:val="center"/>
          </w:tcPr>
          <w:p w14:paraId="59683610" w14:textId="77777777" w:rsidR="00C13A0D" w:rsidRPr="002076A5" w:rsidRDefault="00C13A0D" w:rsidP="00C13A0D">
            <w:pPr>
              <w:widowControl w:val="0"/>
              <w:jc w:val="center"/>
              <w:rPr>
                <w:snapToGrid w:val="0"/>
              </w:rPr>
            </w:pPr>
          </w:p>
        </w:tc>
      </w:tr>
      <w:tr w:rsidR="00A15726" w:rsidRPr="00017495" w14:paraId="59971CCE" w14:textId="77777777" w:rsidTr="00335ADD">
        <w:trPr>
          <w:trHeight w:val="233"/>
        </w:trPr>
        <w:tc>
          <w:tcPr>
            <w:tcW w:w="7838" w:type="dxa"/>
            <w:gridSpan w:val="2"/>
            <w:tcBorders>
              <w:bottom w:val="single" w:sz="4" w:space="0" w:color="auto"/>
            </w:tcBorders>
            <w:shd w:val="clear" w:color="auto" w:fill="auto"/>
            <w:vAlign w:val="center"/>
          </w:tcPr>
          <w:p w14:paraId="3FC27331" w14:textId="77777777" w:rsidR="00A15726" w:rsidRPr="002076A5" w:rsidRDefault="00A15726" w:rsidP="00AF1CC3">
            <w:pPr>
              <w:widowControl w:val="0"/>
              <w:ind w:left="0"/>
              <w:rPr>
                <w:b/>
                <w:snapToGrid w:val="0"/>
              </w:rPr>
            </w:pPr>
            <w:r w:rsidRPr="002076A5">
              <w:rPr>
                <w:b/>
              </w:rPr>
              <w:t>Program Strategy:</w:t>
            </w:r>
          </w:p>
        </w:tc>
        <w:tc>
          <w:tcPr>
            <w:tcW w:w="1416" w:type="dxa"/>
            <w:tcBorders>
              <w:bottom w:val="single" w:sz="4" w:space="0" w:color="auto"/>
            </w:tcBorders>
            <w:vAlign w:val="center"/>
          </w:tcPr>
          <w:p w14:paraId="21C9E65C" w14:textId="4105E65C" w:rsidR="00A15726" w:rsidRPr="002076A5" w:rsidRDefault="00243B2E" w:rsidP="00335ADD">
            <w:pPr>
              <w:widowControl w:val="0"/>
              <w:jc w:val="center"/>
              <w:rPr>
                <w:b/>
                <w:snapToGrid w:val="0"/>
              </w:rPr>
            </w:pPr>
            <w:r>
              <w:rPr>
                <w:b/>
                <w:snapToGrid w:val="0"/>
              </w:rPr>
              <w:t>40</w:t>
            </w:r>
          </w:p>
        </w:tc>
      </w:tr>
      <w:tr w:rsidR="00A15726" w:rsidRPr="00017495" w14:paraId="19EFCFAA" w14:textId="77777777" w:rsidTr="00335ADD">
        <w:tc>
          <w:tcPr>
            <w:tcW w:w="6607" w:type="dxa"/>
            <w:tcBorders>
              <w:bottom w:val="single" w:sz="4" w:space="0" w:color="auto"/>
            </w:tcBorders>
            <w:shd w:val="clear" w:color="auto" w:fill="auto"/>
          </w:tcPr>
          <w:p w14:paraId="1538EC52" w14:textId="5019FFCA" w:rsidR="00A15726" w:rsidRPr="002076A5" w:rsidRDefault="00A15726">
            <w:pPr>
              <w:pStyle w:val="ListParagraph"/>
              <w:widowControl w:val="0"/>
              <w:numPr>
                <w:ilvl w:val="0"/>
                <w:numId w:val="16"/>
              </w:numPr>
              <w:rPr>
                <w:b/>
                <w:snapToGrid w:val="0"/>
              </w:rPr>
            </w:pPr>
            <w:r w:rsidRPr="002076A5">
              <w:t>Describe</w:t>
            </w:r>
            <w:r w:rsidR="00B03478">
              <w:t>s</w:t>
            </w:r>
            <w:r w:rsidRPr="002076A5">
              <w:t xml:space="preserve"> how the planning </w:t>
            </w:r>
            <w:r w:rsidR="0037171C">
              <w:t>MDT</w:t>
            </w:r>
            <w:r w:rsidR="0037171C" w:rsidRPr="002076A5">
              <w:t xml:space="preserve"> </w:t>
            </w:r>
            <w:r w:rsidRPr="002076A5">
              <w:t xml:space="preserve">will be </w:t>
            </w:r>
            <w:r w:rsidR="00CF2B05">
              <w:t>convened</w:t>
            </w:r>
            <w:r w:rsidR="00CF2B05" w:rsidRPr="002076A5">
              <w:t xml:space="preserve"> </w:t>
            </w:r>
            <w:r w:rsidRPr="002076A5">
              <w:t>and how often they will meet.</w:t>
            </w:r>
            <w:r w:rsidR="00105D85">
              <w:t xml:space="preserve"> </w:t>
            </w:r>
          </w:p>
        </w:tc>
        <w:tc>
          <w:tcPr>
            <w:tcW w:w="1231" w:type="dxa"/>
            <w:tcBorders>
              <w:bottom w:val="single" w:sz="4" w:space="0" w:color="auto"/>
            </w:tcBorders>
            <w:shd w:val="clear" w:color="auto" w:fill="auto"/>
            <w:vAlign w:val="center"/>
          </w:tcPr>
          <w:p w14:paraId="43CEC554" w14:textId="20E064AB" w:rsidR="00A15726" w:rsidRPr="002076A5" w:rsidRDefault="00EC4225" w:rsidP="006F220A">
            <w:pPr>
              <w:widowControl w:val="0"/>
              <w:ind w:left="0"/>
              <w:rPr>
                <w:snapToGrid w:val="0"/>
              </w:rPr>
            </w:pPr>
            <w:r>
              <w:rPr>
                <w:snapToGrid w:val="0"/>
              </w:rPr>
              <w:t>5</w:t>
            </w:r>
          </w:p>
        </w:tc>
        <w:tc>
          <w:tcPr>
            <w:tcW w:w="1416" w:type="dxa"/>
            <w:tcBorders>
              <w:bottom w:val="single" w:sz="4" w:space="0" w:color="auto"/>
            </w:tcBorders>
            <w:shd w:val="clear" w:color="auto" w:fill="F2F2F2" w:themeFill="background1" w:themeFillShade="F2"/>
            <w:vAlign w:val="center"/>
          </w:tcPr>
          <w:p w14:paraId="6E75028D" w14:textId="77777777" w:rsidR="00A15726" w:rsidRPr="002076A5" w:rsidRDefault="00A15726" w:rsidP="00335ADD">
            <w:pPr>
              <w:widowControl w:val="0"/>
              <w:jc w:val="center"/>
              <w:rPr>
                <w:snapToGrid w:val="0"/>
              </w:rPr>
            </w:pPr>
          </w:p>
        </w:tc>
      </w:tr>
      <w:tr w:rsidR="00D2191A" w:rsidRPr="00017495" w14:paraId="01189899" w14:textId="77777777" w:rsidTr="00335ADD">
        <w:tc>
          <w:tcPr>
            <w:tcW w:w="6607" w:type="dxa"/>
            <w:tcBorders>
              <w:bottom w:val="single" w:sz="4" w:space="0" w:color="auto"/>
            </w:tcBorders>
            <w:shd w:val="clear" w:color="auto" w:fill="auto"/>
          </w:tcPr>
          <w:p w14:paraId="1BBFA8A6" w14:textId="673F4C68" w:rsidR="00D2191A" w:rsidRPr="002076A5" w:rsidRDefault="00D2191A" w:rsidP="00A15726">
            <w:pPr>
              <w:pStyle w:val="ListParagraph"/>
              <w:widowControl w:val="0"/>
              <w:numPr>
                <w:ilvl w:val="0"/>
                <w:numId w:val="16"/>
              </w:numPr>
            </w:pPr>
            <w:r w:rsidRPr="002076A5">
              <w:t>Describe</w:t>
            </w:r>
            <w:r w:rsidR="00B03478">
              <w:t>s</w:t>
            </w:r>
            <w:r w:rsidRPr="002076A5">
              <w:t xml:space="preserve"> plan to assemble and analyze relevant data</w:t>
            </w:r>
            <w:r w:rsidR="00006548">
              <w:t xml:space="preserve">. </w:t>
            </w:r>
          </w:p>
        </w:tc>
        <w:tc>
          <w:tcPr>
            <w:tcW w:w="1231" w:type="dxa"/>
            <w:tcBorders>
              <w:bottom w:val="single" w:sz="4" w:space="0" w:color="auto"/>
            </w:tcBorders>
            <w:shd w:val="clear" w:color="auto" w:fill="auto"/>
            <w:vAlign w:val="center"/>
          </w:tcPr>
          <w:p w14:paraId="22B5B8C8" w14:textId="79CD9BB6" w:rsidR="00D2191A" w:rsidRPr="002076A5" w:rsidRDefault="00006548" w:rsidP="006F220A">
            <w:pPr>
              <w:widowControl w:val="0"/>
              <w:ind w:left="0"/>
              <w:rPr>
                <w:snapToGrid w:val="0"/>
              </w:rPr>
            </w:pPr>
            <w:r>
              <w:rPr>
                <w:snapToGrid w:val="0"/>
              </w:rPr>
              <w:t>5</w:t>
            </w:r>
          </w:p>
        </w:tc>
        <w:tc>
          <w:tcPr>
            <w:tcW w:w="1416" w:type="dxa"/>
            <w:tcBorders>
              <w:bottom w:val="single" w:sz="4" w:space="0" w:color="auto"/>
            </w:tcBorders>
            <w:shd w:val="clear" w:color="auto" w:fill="F2F2F2" w:themeFill="background1" w:themeFillShade="F2"/>
            <w:vAlign w:val="center"/>
          </w:tcPr>
          <w:p w14:paraId="307E8748" w14:textId="77777777" w:rsidR="00D2191A" w:rsidRPr="002076A5" w:rsidRDefault="00D2191A" w:rsidP="00335ADD">
            <w:pPr>
              <w:widowControl w:val="0"/>
              <w:jc w:val="center"/>
              <w:rPr>
                <w:snapToGrid w:val="0"/>
              </w:rPr>
            </w:pPr>
          </w:p>
        </w:tc>
      </w:tr>
      <w:tr w:rsidR="00A15726" w:rsidRPr="00017495" w14:paraId="46B6DEE0" w14:textId="77777777" w:rsidTr="008B7212">
        <w:trPr>
          <w:trHeight w:val="872"/>
        </w:trPr>
        <w:tc>
          <w:tcPr>
            <w:tcW w:w="6607" w:type="dxa"/>
            <w:tcBorders>
              <w:bottom w:val="single" w:sz="4" w:space="0" w:color="auto"/>
            </w:tcBorders>
            <w:shd w:val="clear" w:color="auto" w:fill="auto"/>
          </w:tcPr>
          <w:p w14:paraId="7D31AB35" w14:textId="1076B710" w:rsidR="00A15726" w:rsidRPr="002076A5" w:rsidRDefault="00A15726" w:rsidP="008B7212">
            <w:pPr>
              <w:pStyle w:val="ListParagraph"/>
              <w:widowControl w:val="0"/>
              <w:numPr>
                <w:ilvl w:val="0"/>
                <w:numId w:val="16"/>
              </w:numPr>
            </w:pPr>
            <w:r w:rsidRPr="002076A5">
              <w:t>Describe</w:t>
            </w:r>
            <w:r w:rsidR="00B03478">
              <w:t>s</w:t>
            </w:r>
            <w:r w:rsidRPr="002076A5">
              <w:t xml:space="preserve"> plan to assess current alternatives to incarceration and resources, and identify gaps (e.g</w:t>
            </w:r>
            <w:r w:rsidR="00105D85" w:rsidRPr="002076A5">
              <w:t>.,</w:t>
            </w:r>
            <w:r w:rsidR="00105D85">
              <w:t xml:space="preserve"> system and </w:t>
            </w:r>
            <w:r w:rsidRPr="002076A5">
              <w:t>community resource mapping)</w:t>
            </w:r>
          </w:p>
        </w:tc>
        <w:tc>
          <w:tcPr>
            <w:tcW w:w="1231" w:type="dxa"/>
            <w:tcBorders>
              <w:bottom w:val="single" w:sz="4" w:space="0" w:color="auto"/>
            </w:tcBorders>
            <w:shd w:val="clear" w:color="auto" w:fill="auto"/>
            <w:vAlign w:val="center"/>
          </w:tcPr>
          <w:p w14:paraId="75821D57" w14:textId="1A632FD7" w:rsidR="00A15726" w:rsidRPr="002076A5" w:rsidRDefault="00243B2E" w:rsidP="006F220A">
            <w:pPr>
              <w:widowControl w:val="0"/>
              <w:ind w:left="0"/>
              <w:rPr>
                <w:snapToGrid w:val="0"/>
              </w:rPr>
            </w:pPr>
            <w:r>
              <w:rPr>
                <w:snapToGrid w:val="0"/>
              </w:rPr>
              <w:t>10</w:t>
            </w:r>
          </w:p>
        </w:tc>
        <w:tc>
          <w:tcPr>
            <w:tcW w:w="1416" w:type="dxa"/>
            <w:tcBorders>
              <w:bottom w:val="single" w:sz="4" w:space="0" w:color="auto"/>
            </w:tcBorders>
            <w:shd w:val="clear" w:color="auto" w:fill="F2F2F2" w:themeFill="background1" w:themeFillShade="F2"/>
            <w:vAlign w:val="center"/>
          </w:tcPr>
          <w:p w14:paraId="1BAC9402" w14:textId="77777777" w:rsidR="00A15726" w:rsidRPr="002076A5" w:rsidRDefault="00A15726" w:rsidP="00335ADD">
            <w:pPr>
              <w:widowControl w:val="0"/>
              <w:jc w:val="center"/>
              <w:rPr>
                <w:snapToGrid w:val="0"/>
              </w:rPr>
            </w:pPr>
          </w:p>
        </w:tc>
      </w:tr>
      <w:tr w:rsidR="00105D85" w:rsidRPr="00017495" w14:paraId="11195802" w14:textId="77777777" w:rsidTr="00335ADD">
        <w:tc>
          <w:tcPr>
            <w:tcW w:w="6607" w:type="dxa"/>
            <w:tcBorders>
              <w:bottom w:val="single" w:sz="4" w:space="0" w:color="auto"/>
            </w:tcBorders>
            <w:shd w:val="clear" w:color="auto" w:fill="auto"/>
          </w:tcPr>
          <w:p w14:paraId="2B9696B1" w14:textId="75FAE215" w:rsidR="00105D85" w:rsidRPr="002076A5" w:rsidRDefault="00105D85" w:rsidP="00105D85">
            <w:pPr>
              <w:pStyle w:val="ListParagraph"/>
              <w:widowControl w:val="0"/>
              <w:numPr>
                <w:ilvl w:val="0"/>
                <w:numId w:val="16"/>
              </w:numPr>
            </w:pPr>
            <w:r>
              <w:t>Identifies potential site visits to learn about alternatives to incarceration.</w:t>
            </w:r>
          </w:p>
        </w:tc>
        <w:tc>
          <w:tcPr>
            <w:tcW w:w="1231" w:type="dxa"/>
            <w:tcBorders>
              <w:bottom w:val="single" w:sz="4" w:space="0" w:color="auto"/>
            </w:tcBorders>
            <w:shd w:val="clear" w:color="auto" w:fill="auto"/>
            <w:vAlign w:val="center"/>
          </w:tcPr>
          <w:p w14:paraId="4B1FCA5C" w14:textId="513E136E" w:rsidR="00105D85" w:rsidRDefault="00105D85" w:rsidP="006F220A">
            <w:pPr>
              <w:widowControl w:val="0"/>
              <w:ind w:left="0"/>
              <w:rPr>
                <w:snapToGrid w:val="0"/>
              </w:rPr>
            </w:pPr>
            <w:r>
              <w:rPr>
                <w:snapToGrid w:val="0"/>
              </w:rPr>
              <w:t>5</w:t>
            </w:r>
          </w:p>
        </w:tc>
        <w:tc>
          <w:tcPr>
            <w:tcW w:w="1416" w:type="dxa"/>
            <w:tcBorders>
              <w:bottom w:val="single" w:sz="4" w:space="0" w:color="auto"/>
            </w:tcBorders>
            <w:shd w:val="clear" w:color="auto" w:fill="F2F2F2" w:themeFill="background1" w:themeFillShade="F2"/>
            <w:vAlign w:val="center"/>
          </w:tcPr>
          <w:p w14:paraId="1DA2FEE5" w14:textId="77777777" w:rsidR="00105D85" w:rsidRPr="002076A5" w:rsidRDefault="00105D85" w:rsidP="00335ADD">
            <w:pPr>
              <w:widowControl w:val="0"/>
              <w:jc w:val="center"/>
              <w:rPr>
                <w:snapToGrid w:val="0"/>
              </w:rPr>
            </w:pPr>
          </w:p>
        </w:tc>
      </w:tr>
      <w:tr w:rsidR="00A15726" w:rsidRPr="00017495" w14:paraId="1CA9C863" w14:textId="77777777" w:rsidTr="00335ADD">
        <w:tc>
          <w:tcPr>
            <w:tcW w:w="6607" w:type="dxa"/>
            <w:tcBorders>
              <w:bottom w:val="single" w:sz="4" w:space="0" w:color="auto"/>
            </w:tcBorders>
            <w:shd w:val="clear" w:color="auto" w:fill="auto"/>
          </w:tcPr>
          <w:p w14:paraId="70912285" w14:textId="45CBE080" w:rsidR="00A15726" w:rsidRPr="002076A5" w:rsidRDefault="00A15726" w:rsidP="008B7212">
            <w:pPr>
              <w:pStyle w:val="ListParagraph"/>
              <w:widowControl w:val="0"/>
              <w:numPr>
                <w:ilvl w:val="0"/>
                <w:numId w:val="16"/>
              </w:numPr>
            </w:pPr>
            <w:r w:rsidRPr="002076A5">
              <w:t>Describe</w:t>
            </w:r>
            <w:r w:rsidR="00B03478">
              <w:t>s</w:t>
            </w:r>
            <w:r w:rsidRPr="002076A5">
              <w:t xml:space="preserve"> </w:t>
            </w:r>
            <w:r w:rsidR="00105D85">
              <w:t>staffing for the</w:t>
            </w:r>
            <w:r w:rsidRPr="002076A5">
              <w:t xml:space="preserve"> </w:t>
            </w:r>
            <w:r w:rsidR="00105D85">
              <w:t xml:space="preserve">planning process, how </w:t>
            </w:r>
            <w:r w:rsidRPr="002076A5">
              <w:t>local plan will be completed and by whom.</w:t>
            </w:r>
          </w:p>
        </w:tc>
        <w:tc>
          <w:tcPr>
            <w:tcW w:w="1231" w:type="dxa"/>
            <w:tcBorders>
              <w:bottom w:val="single" w:sz="4" w:space="0" w:color="auto"/>
            </w:tcBorders>
            <w:shd w:val="clear" w:color="auto" w:fill="auto"/>
            <w:vAlign w:val="center"/>
          </w:tcPr>
          <w:p w14:paraId="0AE63EC8" w14:textId="2A28AEB7" w:rsidR="00A15726" w:rsidRPr="002076A5" w:rsidRDefault="00105D85" w:rsidP="006F220A">
            <w:pPr>
              <w:widowControl w:val="0"/>
              <w:ind w:left="0"/>
              <w:rPr>
                <w:snapToGrid w:val="0"/>
              </w:rPr>
            </w:pPr>
            <w:r>
              <w:rPr>
                <w:snapToGrid w:val="0"/>
              </w:rPr>
              <w:t>5</w:t>
            </w:r>
          </w:p>
        </w:tc>
        <w:tc>
          <w:tcPr>
            <w:tcW w:w="1416" w:type="dxa"/>
            <w:tcBorders>
              <w:bottom w:val="single" w:sz="4" w:space="0" w:color="auto"/>
            </w:tcBorders>
            <w:shd w:val="clear" w:color="auto" w:fill="F2F2F2" w:themeFill="background1" w:themeFillShade="F2"/>
            <w:vAlign w:val="center"/>
          </w:tcPr>
          <w:p w14:paraId="3E0338E0" w14:textId="77777777" w:rsidR="00A15726" w:rsidRPr="002076A5" w:rsidRDefault="00A15726" w:rsidP="00335ADD">
            <w:pPr>
              <w:widowControl w:val="0"/>
              <w:jc w:val="center"/>
              <w:rPr>
                <w:snapToGrid w:val="0"/>
              </w:rPr>
            </w:pPr>
          </w:p>
        </w:tc>
      </w:tr>
      <w:tr w:rsidR="00E93327" w:rsidRPr="00017495" w14:paraId="29AF1A66" w14:textId="77777777" w:rsidTr="00335ADD">
        <w:tc>
          <w:tcPr>
            <w:tcW w:w="6607" w:type="dxa"/>
            <w:tcBorders>
              <w:bottom w:val="single" w:sz="4" w:space="0" w:color="auto"/>
            </w:tcBorders>
            <w:shd w:val="clear" w:color="auto" w:fill="auto"/>
          </w:tcPr>
          <w:p w14:paraId="450E6C05" w14:textId="10E90372" w:rsidR="00E93327" w:rsidRPr="002076A5" w:rsidRDefault="00E93327" w:rsidP="0037171C">
            <w:pPr>
              <w:pStyle w:val="ListParagraph"/>
              <w:widowControl w:val="0"/>
              <w:numPr>
                <w:ilvl w:val="0"/>
                <w:numId w:val="16"/>
              </w:numPr>
            </w:pPr>
            <w:r>
              <w:t>I</w:t>
            </w:r>
            <w:r w:rsidR="0037171C">
              <w:t>ncludes completed and comprehensive i</w:t>
            </w:r>
            <w:r>
              <w:t xml:space="preserve">mplementation </w:t>
            </w:r>
            <w:r w:rsidR="0037171C">
              <w:t>schedule.</w:t>
            </w:r>
            <w:r>
              <w:t xml:space="preserve"> </w:t>
            </w:r>
          </w:p>
        </w:tc>
        <w:tc>
          <w:tcPr>
            <w:tcW w:w="1231" w:type="dxa"/>
            <w:tcBorders>
              <w:bottom w:val="single" w:sz="4" w:space="0" w:color="auto"/>
            </w:tcBorders>
            <w:shd w:val="clear" w:color="auto" w:fill="auto"/>
            <w:vAlign w:val="center"/>
          </w:tcPr>
          <w:p w14:paraId="5552E191" w14:textId="75C378CB" w:rsidR="00E93327" w:rsidRDefault="00105D85" w:rsidP="006F220A">
            <w:pPr>
              <w:widowControl w:val="0"/>
              <w:ind w:left="0"/>
              <w:rPr>
                <w:snapToGrid w:val="0"/>
              </w:rPr>
            </w:pPr>
            <w:r>
              <w:rPr>
                <w:snapToGrid w:val="0"/>
              </w:rPr>
              <w:t>10</w:t>
            </w:r>
          </w:p>
        </w:tc>
        <w:tc>
          <w:tcPr>
            <w:tcW w:w="1416" w:type="dxa"/>
            <w:tcBorders>
              <w:bottom w:val="single" w:sz="4" w:space="0" w:color="auto"/>
            </w:tcBorders>
            <w:shd w:val="clear" w:color="auto" w:fill="F2F2F2" w:themeFill="background1" w:themeFillShade="F2"/>
            <w:vAlign w:val="center"/>
          </w:tcPr>
          <w:p w14:paraId="67A46B23" w14:textId="77777777" w:rsidR="00E93327" w:rsidRPr="002076A5" w:rsidRDefault="00E93327" w:rsidP="00335ADD">
            <w:pPr>
              <w:widowControl w:val="0"/>
              <w:jc w:val="center"/>
              <w:rPr>
                <w:snapToGrid w:val="0"/>
              </w:rPr>
            </w:pPr>
          </w:p>
        </w:tc>
      </w:tr>
      <w:tr w:rsidR="00A15726" w:rsidRPr="00017495" w14:paraId="63E7A1AA" w14:textId="77777777" w:rsidTr="00335ADD">
        <w:tc>
          <w:tcPr>
            <w:tcW w:w="7838" w:type="dxa"/>
            <w:gridSpan w:val="2"/>
            <w:tcBorders>
              <w:bottom w:val="single" w:sz="4" w:space="0" w:color="auto"/>
            </w:tcBorders>
            <w:shd w:val="clear" w:color="auto" w:fill="auto"/>
            <w:vAlign w:val="center"/>
          </w:tcPr>
          <w:p w14:paraId="38793DBB" w14:textId="2CE60095" w:rsidR="00A15726" w:rsidRPr="002076A5" w:rsidRDefault="00A15726" w:rsidP="00AF1CC3">
            <w:pPr>
              <w:widowControl w:val="0"/>
              <w:ind w:left="0"/>
              <w:rPr>
                <w:b/>
                <w:snapToGrid w:val="0"/>
              </w:rPr>
            </w:pPr>
            <w:r w:rsidRPr="002076A5">
              <w:rPr>
                <w:b/>
                <w:snapToGrid w:val="0"/>
              </w:rPr>
              <w:t>Goals, Objectives and Performance Indicators:</w:t>
            </w:r>
          </w:p>
        </w:tc>
        <w:tc>
          <w:tcPr>
            <w:tcW w:w="1416" w:type="dxa"/>
            <w:tcBorders>
              <w:bottom w:val="single" w:sz="4" w:space="0" w:color="auto"/>
            </w:tcBorders>
            <w:vAlign w:val="center"/>
          </w:tcPr>
          <w:p w14:paraId="1E41F884" w14:textId="6A2F0B77" w:rsidR="00A15726" w:rsidRPr="002076A5" w:rsidRDefault="00243B2E" w:rsidP="00335ADD">
            <w:pPr>
              <w:widowControl w:val="0"/>
              <w:jc w:val="center"/>
              <w:rPr>
                <w:b/>
                <w:snapToGrid w:val="0"/>
              </w:rPr>
            </w:pPr>
            <w:r>
              <w:rPr>
                <w:b/>
                <w:snapToGrid w:val="0"/>
              </w:rPr>
              <w:t>5</w:t>
            </w:r>
          </w:p>
        </w:tc>
      </w:tr>
      <w:tr w:rsidR="00A15726" w:rsidRPr="00017495" w14:paraId="3CD4C59D" w14:textId="77777777" w:rsidTr="00335ADD">
        <w:tc>
          <w:tcPr>
            <w:tcW w:w="6607" w:type="dxa"/>
            <w:tcBorders>
              <w:bottom w:val="single" w:sz="4" w:space="0" w:color="auto"/>
            </w:tcBorders>
            <w:shd w:val="clear" w:color="auto" w:fill="auto"/>
          </w:tcPr>
          <w:p w14:paraId="4831DC10" w14:textId="3B5A4279" w:rsidR="00A15726" w:rsidRPr="002076A5" w:rsidRDefault="00A15726" w:rsidP="008B7212">
            <w:pPr>
              <w:pStyle w:val="ListParagraph"/>
              <w:numPr>
                <w:ilvl w:val="0"/>
                <w:numId w:val="60"/>
              </w:numPr>
            </w:pPr>
            <w:r w:rsidRPr="002076A5">
              <w:t xml:space="preserve">Describes </w:t>
            </w:r>
            <w:r w:rsidR="00163395">
              <w:t xml:space="preserve">an understanding of reporting requirements </w:t>
            </w:r>
            <w:r w:rsidR="00DE2559">
              <w:t xml:space="preserve">and </w:t>
            </w:r>
            <w:r w:rsidRPr="002076A5">
              <w:t>how each of the objectives will be accomplished and measured.</w:t>
            </w:r>
          </w:p>
        </w:tc>
        <w:tc>
          <w:tcPr>
            <w:tcW w:w="1231" w:type="dxa"/>
            <w:tcBorders>
              <w:bottom w:val="single" w:sz="4" w:space="0" w:color="auto"/>
            </w:tcBorders>
            <w:shd w:val="clear" w:color="auto" w:fill="auto"/>
            <w:vAlign w:val="center"/>
          </w:tcPr>
          <w:p w14:paraId="3BD41B78" w14:textId="77777777" w:rsidR="00A15726" w:rsidRPr="002076A5" w:rsidRDefault="00A15726" w:rsidP="00AF1CC3">
            <w:pPr>
              <w:ind w:left="0"/>
            </w:pPr>
            <w:r w:rsidRPr="002076A5">
              <w:t>5</w:t>
            </w:r>
          </w:p>
        </w:tc>
        <w:tc>
          <w:tcPr>
            <w:tcW w:w="1416" w:type="dxa"/>
            <w:tcBorders>
              <w:bottom w:val="single" w:sz="4" w:space="0" w:color="auto"/>
            </w:tcBorders>
            <w:shd w:val="clear" w:color="auto" w:fill="F2F2F2" w:themeFill="background1" w:themeFillShade="F2"/>
            <w:vAlign w:val="center"/>
          </w:tcPr>
          <w:p w14:paraId="532E9346" w14:textId="77777777" w:rsidR="00A15726" w:rsidRPr="002076A5" w:rsidRDefault="00A15726" w:rsidP="00335ADD"/>
        </w:tc>
      </w:tr>
      <w:tr w:rsidR="00A15726" w:rsidRPr="00017495" w14:paraId="699B469A" w14:textId="77777777" w:rsidTr="00335ADD">
        <w:tc>
          <w:tcPr>
            <w:tcW w:w="7838" w:type="dxa"/>
            <w:gridSpan w:val="2"/>
            <w:tcBorders>
              <w:bottom w:val="single" w:sz="4" w:space="0" w:color="auto"/>
            </w:tcBorders>
            <w:shd w:val="clear" w:color="auto" w:fill="auto"/>
          </w:tcPr>
          <w:p w14:paraId="791663B6" w14:textId="77E3EC8F" w:rsidR="00A15726" w:rsidRPr="002076A5" w:rsidRDefault="00A15726" w:rsidP="00AF1CC3">
            <w:pPr>
              <w:ind w:left="0"/>
              <w:rPr>
                <w:b/>
              </w:rPr>
            </w:pPr>
            <w:r w:rsidRPr="002076A5">
              <w:rPr>
                <w:b/>
              </w:rPr>
              <w:t>Budget:</w:t>
            </w:r>
          </w:p>
        </w:tc>
        <w:tc>
          <w:tcPr>
            <w:tcW w:w="1416" w:type="dxa"/>
            <w:tcBorders>
              <w:bottom w:val="single" w:sz="4" w:space="0" w:color="auto"/>
            </w:tcBorders>
            <w:shd w:val="clear" w:color="auto" w:fill="F2F2F2" w:themeFill="background1" w:themeFillShade="F2"/>
          </w:tcPr>
          <w:p w14:paraId="6AFC3C1E" w14:textId="01BA3AC0" w:rsidR="00A15726" w:rsidRPr="002076A5" w:rsidRDefault="00075ABF" w:rsidP="00335ADD">
            <w:pPr>
              <w:jc w:val="center"/>
              <w:rPr>
                <w:b/>
              </w:rPr>
            </w:pPr>
            <w:r>
              <w:rPr>
                <w:b/>
              </w:rPr>
              <w:t>10</w:t>
            </w:r>
          </w:p>
        </w:tc>
      </w:tr>
      <w:tr w:rsidR="00FF16D6" w:rsidRPr="00017495" w14:paraId="341FFF5E" w14:textId="77777777" w:rsidTr="00FF16D6">
        <w:tc>
          <w:tcPr>
            <w:tcW w:w="6607" w:type="dxa"/>
            <w:tcBorders>
              <w:bottom w:val="single" w:sz="4" w:space="0" w:color="auto"/>
            </w:tcBorders>
            <w:shd w:val="clear" w:color="auto" w:fill="auto"/>
          </w:tcPr>
          <w:p w14:paraId="4F285E8F" w14:textId="215569DC" w:rsidR="00FF16D6" w:rsidRPr="00FF16D6" w:rsidRDefault="00FF16D6" w:rsidP="00FF16D6">
            <w:pPr>
              <w:pStyle w:val="ListParagraph"/>
              <w:numPr>
                <w:ilvl w:val="0"/>
                <w:numId w:val="60"/>
              </w:numPr>
              <w:rPr>
                <w:b/>
              </w:rPr>
            </w:pPr>
            <w:r w:rsidRPr="00A96DCD">
              <w:t>Include</w:t>
            </w:r>
            <w:r>
              <w:t>s</w:t>
            </w:r>
            <w:r w:rsidRPr="00A96DCD">
              <w:t xml:space="preserve"> a detailed budget using the </w:t>
            </w:r>
            <w:r>
              <w:t xml:space="preserve">fillable, Excel-based </w:t>
            </w:r>
            <w:r w:rsidRPr="00A96DCD">
              <w:t xml:space="preserve">template and forms provided by ICJIA. </w:t>
            </w:r>
            <w:r>
              <w:t>Attached as a separate Excel document</w:t>
            </w:r>
            <w:r w:rsidR="006E68CA">
              <w:t>.</w:t>
            </w:r>
          </w:p>
        </w:tc>
        <w:tc>
          <w:tcPr>
            <w:tcW w:w="1231" w:type="dxa"/>
            <w:tcBorders>
              <w:bottom w:val="single" w:sz="4" w:space="0" w:color="auto"/>
            </w:tcBorders>
            <w:shd w:val="clear" w:color="auto" w:fill="auto"/>
          </w:tcPr>
          <w:p w14:paraId="7D2C6EA4" w14:textId="3C1984E2" w:rsidR="00FF16D6" w:rsidRPr="00FF16D6" w:rsidRDefault="00FF16D6" w:rsidP="00AF1CC3">
            <w:pPr>
              <w:ind w:left="0"/>
            </w:pPr>
            <w:r w:rsidRPr="00FF16D6">
              <w:t>5</w:t>
            </w:r>
          </w:p>
        </w:tc>
        <w:tc>
          <w:tcPr>
            <w:tcW w:w="1416" w:type="dxa"/>
            <w:tcBorders>
              <w:bottom w:val="single" w:sz="4" w:space="0" w:color="auto"/>
            </w:tcBorders>
            <w:shd w:val="clear" w:color="auto" w:fill="F2F2F2" w:themeFill="background1" w:themeFillShade="F2"/>
          </w:tcPr>
          <w:p w14:paraId="2C9D9313" w14:textId="77777777" w:rsidR="00FF16D6" w:rsidRDefault="00FF16D6" w:rsidP="00335ADD">
            <w:pPr>
              <w:jc w:val="center"/>
              <w:rPr>
                <w:b/>
              </w:rPr>
            </w:pPr>
          </w:p>
        </w:tc>
      </w:tr>
      <w:tr w:rsidR="00A15726" w:rsidRPr="00017495" w14:paraId="292DEAFD" w14:textId="77777777" w:rsidTr="00335ADD">
        <w:tc>
          <w:tcPr>
            <w:tcW w:w="6607" w:type="dxa"/>
            <w:tcBorders>
              <w:bottom w:val="single" w:sz="4" w:space="0" w:color="auto"/>
            </w:tcBorders>
            <w:shd w:val="clear" w:color="auto" w:fill="auto"/>
          </w:tcPr>
          <w:p w14:paraId="04F07DF5" w14:textId="64CAD651" w:rsidR="00A15726" w:rsidRPr="002076A5" w:rsidRDefault="00A15726" w:rsidP="00A15726">
            <w:pPr>
              <w:pStyle w:val="ListParagraph"/>
              <w:numPr>
                <w:ilvl w:val="0"/>
                <w:numId w:val="60"/>
              </w:numPr>
            </w:pPr>
            <w:r w:rsidRPr="002076A5">
              <w:t xml:space="preserve">Includes </w:t>
            </w:r>
            <w:r w:rsidR="009C733F">
              <w:t xml:space="preserve">a budget narrative </w:t>
            </w:r>
            <w:r w:rsidR="00E30181">
              <w:t xml:space="preserve">clearly </w:t>
            </w:r>
            <w:r w:rsidRPr="002076A5">
              <w:t>expla</w:t>
            </w:r>
            <w:r w:rsidR="00E30181">
              <w:t>i</w:t>
            </w:r>
            <w:r w:rsidRPr="002076A5">
              <w:t>n</w:t>
            </w:r>
            <w:r w:rsidR="009C733F">
              <w:t xml:space="preserve">ing </w:t>
            </w:r>
            <w:r w:rsidR="00E30181">
              <w:t xml:space="preserve">every category of expense listed in the budget </w:t>
            </w:r>
            <w:r w:rsidRPr="002076A5">
              <w:t xml:space="preserve">for program </w:t>
            </w:r>
            <w:r w:rsidR="00C42A5E">
              <w:t>planning</w:t>
            </w:r>
            <w:r w:rsidR="006E68CA">
              <w:t>.</w:t>
            </w:r>
          </w:p>
        </w:tc>
        <w:tc>
          <w:tcPr>
            <w:tcW w:w="1231" w:type="dxa"/>
            <w:tcBorders>
              <w:bottom w:val="single" w:sz="4" w:space="0" w:color="auto"/>
            </w:tcBorders>
            <w:shd w:val="clear" w:color="auto" w:fill="auto"/>
          </w:tcPr>
          <w:p w14:paraId="191CC4B9" w14:textId="77777777" w:rsidR="00A15726" w:rsidRPr="002076A5" w:rsidRDefault="00A15726" w:rsidP="00AF1CC3">
            <w:pPr>
              <w:ind w:left="0"/>
            </w:pPr>
            <w:r w:rsidRPr="002076A5">
              <w:t>5</w:t>
            </w:r>
          </w:p>
        </w:tc>
        <w:tc>
          <w:tcPr>
            <w:tcW w:w="1416" w:type="dxa"/>
            <w:tcBorders>
              <w:bottom w:val="single" w:sz="4" w:space="0" w:color="auto"/>
            </w:tcBorders>
            <w:shd w:val="clear" w:color="auto" w:fill="F2F2F2" w:themeFill="background1" w:themeFillShade="F2"/>
          </w:tcPr>
          <w:p w14:paraId="7FB3A0D4" w14:textId="77777777" w:rsidR="00A15726" w:rsidRPr="002076A5" w:rsidRDefault="00A15726" w:rsidP="00335ADD"/>
        </w:tc>
      </w:tr>
      <w:tr w:rsidR="00A15726" w:rsidRPr="00017495" w14:paraId="0A42954F" w14:textId="77777777" w:rsidTr="00335ADD">
        <w:tc>
          <w:tcPr>
            <w:tcW w:w="7838"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619CBD0E" w14:textId="77777777" w:rsidR="00A15726" w:rsidRPr="002076A5" w:rsidRDefault="00A15726" w:rsidP="00335ADD">
            <w:pPr>
              <w:widowControl w:val="0"/>
              <w:jc w:val="right"/>
              <w:rPr>
                <w:b/>
                <w:snapToGrid w:val="0"/>
              </w:rPr>
            </w:pPr>
            <w:r w:rsidRPr="002076A5">
              <w:rPr>
                <w:b/>
                <w:snapToGrid w:val="0"/>
              </w:rPr>
              <w:t xml:space="preserve">Total Possible Points </w:t>
            </w:r>
          </w:p>
        </w:tc>
        <w:tc>
          <w:tcPr>
            <w:tcW w:w="1416" w:type="dxa"/>
            <w:tcBorders>
              <w:top w:val="thinThickLargeGap" w:sz="24" w:space="0" w:color="auto"/>
              <w:left w:val="thinThickLargeGap" w:sz="24" w:space="0" w:color="auto"/>
              <w:bottom w:val="thinThickLargeGap" w:sz="24" w:space="0" w:color="auto"/>
              <w:right w:val="thinThickLargeGap" w:sz="24" w:space="0" w:color="auto"/>
            </w:tcBorders>
          </w:tcPr>
          <w:p w14:paraId="550DB76C" w14:textId="6D1DEAA0" w:rsidR="00A15726" w:rsidRPr="002076A5" w:rsidRDefault="00C15DE1" w:rsidP="00335ADD">
            <w:pPr>
              <w:widowControl w:val="0"/>
              <w:jc w:val="center"/>
              <w:rPr>
                <w:b/>
                <w:snapToGrid w:val="0"/>
              </w:rPr>
            </w:pPr>
            <w:r>
              <w:rPr>
                <w:b/>
                <w:snapToGrid w:val="0"/>
              </w:rPr>
              <w:t>100</w:t>
            </w:r>
          </w:p>
        </w:tc>
      </w:tr>
    </w:tbl>
    <w:p w14:paraId="4CBF2F3E" w14:textId="77777777" w:rsidR="00A15726" w:rsidRDefault="00A15726">
      <w:pPr>
        <w:ind w:left="0"/>
      </w:pPr>
    </w:p>
    <w:p w14:paraId="059F88F8" w14:textId="3919360D" w:rsidR="00674E01" w:rsidRPr="00C03701" w:rsidRDefault="00BE61F7" w:rsidP="00C03701">
      <w:pPr>
        <w:pStyle w:val="ListParagraph"/>
        <w:ind w:left="0"/>
        <w:rPr>
          <w:szCs w:val="28"/>
        </w:rPr>
      </w:pPr>
      <w:r w:rsidRPr="00C03701">
        <w:rPr>
          <w:b/>
          <w:i/>
          <w:szCs w:val="28"/>
        </w:rPr>
        <w:t>Review and Selection Process</w:t>
      </w:r>
    </w:p>
    <w:p w14:paraId="1535BC71" w14:textId="5456536E" w:rsidR="00CC6444" w:rsidRPr="00017495" w:rsidRDefault="00BE61F7" w:rsidP="00725744">
      <w:pPr>
        <w:ind w:left="360"/>
        <w:contextualSpacing/>
        <w:rPr>
          <w:szCs w:val="28"/>
        </w:rPr>
      </w:pPr>
      <w:r w:rsidRPr="00017495">
        <w:rPr>
          <w:szCs w:val="28"/>
        </w:rPr>
        <w:t xml:space="preserve"> </w:t>
      </w:r>
      <w:r w:rsidR="00CC6444" w:rsidRPr="00017495">
        <w:rPr>
          <w:sz w:val="22"/>
        </w:rPr>
        <w:t xml:space="preserve"> </w:t>
      </w:r>
    </w:p>
    <w:p w14:paraId="050FC4FF" w14:textId="6DAB1C92" w:rsidR="00044A81" w:rsidRDefault="0055445E" w:rsidP="00922267">
      <w:pPr>
        <w:ind w:left="0"/>
        <w:contextualSpacing/>
      </w:pPr>
      <w:r w:rsidRPr="00017495">
        <w:lastRenderedPageBreak/>
        <w:t>All applications will be screened for completeness and</w:t>
      </w:r>
      <w:r w:rsidR="0005001B" w:rsidRPr="00017495">
        <w:t xml:space="preserve"> </w:t>
      </w:r>
      <w:r w:rsidR="005C0ECA">
        <w:t xml:space="preserve">successful </w:t>
      </w:r>
      <w:r w:rsidRPr="00017495">
        <w:t xml:space="preserve">GATA </w:t>
      </w:r>
      <w:r w:rsidR="00F872E3">
        <w:t>pre-qualification</w:t>
      </w:r>
      <w:r w:rsidR="00EF5BE5">
        <w:t>.</w:t>
      </w:r>
      <w:r w:rsidRPr="00017495">
        <w:t xml:space="preserve"> </w:t>
      </w:r>
      <w:r w:rsidR="00346337">
        <w:t xml:space="preserve"> </w:t>
      </w:r>
      <w:r w:rsidRPr="00922267">
        <w:t>Proposals that pass the screening process will be reviewed by a</w:t>
      </w:r>
      <w:r w:rsidR="00CC4F84" w:rsidRPr="00922267">
        <w:t xml:space="preserve"> scoring</w:t>
      </w:r>
      <w:r w:rsidRPr="00922267">
        <w:t xml:space="preserve"> panel of </w:t>
      </w:r>
      <w:r w:rsidR="00BE4A4E" w:rsidRPr="00922267">
        <w:t>ICJIA staff</w:t>
      </w:r>
      <w:r w:rsidR="006734CF" w:rsidRPr="00922267">
        <w:t>, including ARI staff</w:t>
      </w:r>
      <w:r w:rsidR="0068198E" w:rsidRPr="00922267">
        <w:t xml:space="preserve"> and members of the ARI Oversight Board’s</w:t>
      </w:r>
      <w:r w:rsidR="00BE4A4E" w:rsidRPr="00922267">
        <w:t xml:space="preserve"> Site Selection &amp; Monitoring Committee.</w:t>
      </w:r>
      <w:r w:rsidRPr="00922267">
        <w:t xml:space="preserve"> </w:t>
      </w:r>
    </w:p>
    <w:p w14:paraId="37968382" w14:textId="77777777" w:rsidR="00922267" w:rsidRPr="00922267" w:rsidRDefault="00922267" w:rsidP="00922267">
      <w:pPr>
        <w:ind w:left="0"/>
        <w:contextualSpacing/>
      </w:pPr>
    </w:p>
    <w:p w14:paraId="704F3820" w14:textId="5B7088EE" w:rsidR="00C346D9" w:rsidRPr="00FD2B31" w:rsidRDefault="000943C6" w:rsidP="00C346D9">
      <w:pPr>
        <w:ind w:left="0"/>
        <w:contextualSpacing/>
      </w:pPr>
      <w:r w:rsidRPr="00FD2B31">
        <w:t>Reviewers will score applications based on completeness</w:t>
      </w:r>
      <w:r w:rsidR="00C346D9" w:rsidRPr="00FD2B31">
        <w:t>, clear</w:t>
      </w:r>
      <w:r w:rsidRPr="00FD2B31">
        <w:t xml:space="preserve"> and</w:t>
      </w:r>
      <w:r w:rsidR="00C346D9" w:rsidRPr="00FD2B31">
        <w:t xml:space="preserve"> detailed responses to program narrative questions</w:t>
      </w:r>
      <w:r w:rsidRPr="00FD2B31">
        <w:t>,</w:t>
      </w:r>
      <w:r w:rsidR="00C346D9" w:rsidRPr="00FD2B31">
        <w:t xml:space="preserve"> and inclu</w:t>
      </w:r>
      <w:r w:rsidRPr="00FD2B31">
        <w:t>sion of</w:t>
      </w:r>
      <w:r w:rsidR="00C346D9" w:rsidRPr="00FD2B31">
        <w:t xml:space="preserve"> all mandatory program elements. The applicant must demonstrate that costs are reasonable, necessary, and allowable. </w:t>
      </w:r>
    </w:p>
    <w:p w14:paraId="6E6787E2" w14:textId="77777777" w:rsidR="000943C6" w:rsidRPr="00922267" w:rsidRDefault="000943C6" w:rsidP="00044A81">
      <w:pPr>
        <w:ind w:left="0"/>
      </w:pPr>
    </w:p>
    <w:p w14:paraId="2A9F679A" w14:textId="5D585C5D" w:rsidR="00D24856" w:rsidRPr="00FD2B31" w:rsidRDefault="00D24856" w:rsidP="00922267">
      <w:pPr>
        <w:ind w:left="0"/>
      </w:pPr>
      <w:r w:rsidRPr="00FD2B31">
        <w:t>Selection will be based on an evaluation of compiled scores from the scoring</w:t>
      </w:r>
      <w:r w:rsidR="006E68CA">
        <w:t>,</w:t>
      </w:r>
      <w:r w:rsidRPr="00FD2B31">
        <w:t xml:space="preserve"> past performance history, and financial standing with ICJIA.</w:t>
      </w:r>
    </w:p>
    <w:p w14:paraId="10BC470A" w14:textId="3B9479AD" w:rsidR="00C346D9" w:rsidRPr="00922267" w:rsidRDefault="00C346D9" w:rsidP="00044A81">
      <w:pPr>
        <w:ind w:left="0"/>
      </w:pPr>
    </w:p>
    <w:p w14:paraId="65385B05" w14:textId="77777777" w:rsidR="00FC1D40" w:rsidRPr="00FD2B31" w:rsidRDefault="00FC1D40" w:rsidP="00FC1D40">
      <w:pPr>
        <w:ind w:left="0"/>
      </w:pPr>
      <w:r w:rsidRPr="00922267">
        <w:t xml:space="preserve">ICJIA staff, including ARI staff, and ARI Oversight Board committee members reserve the right to reject any or all incomplete proposals, proposals including unallowable activities, proposals that fail to meet eligibility or program requirements, or proposals that are otherwise deemed to be unsatisfactory. Reviewers also reserve the right to invite one or more applicants to resubmit amended applications and modify budgets that include unallowable or unreasonable costs. </w:t>
      </w:r>
    </w:p>
    <w:p w14:paraId="61DA4D4E" w14:textId="77777777" w:rsidR="00044A81" w:rsidRPr="00FD2B31" w:rsidRDefault="00044A81" w:rsidP="00044A81">
      <w:pPr>
        <w:ind w:left="0"/>
        <w:rPr>
          <w:b/>
        </w:rPr>
      </w:pPr>
    </w:p>
    <w:p w14:paraId="1DA38016" w14:textId="11FDBE6B" w:rsidR="00C346D9" w:rsidRPr="00922267" w:rsidRDefault="00C346D9" w:rsidP="00C346D9">
      <w:pPr>
        <w:ind w:left="0"/>
        <w:contextualSpacing/>
      </w:pPr>
      <w:r w:rsidRPr="00922267">
        <w:t>Final approval of the grant will be made by the ARI Oversight Board following the recommendation</w:t>
      </w:r>
      <w:r w:rsidR="000943C6" w:rsidRPr="00922267">
        <w:t>s</w:t>
      </w:r>
      <w:r w:rsidRPr="00922267">
        <w:t xml:space="preserve"> of the scoring panel. </w:t>
      </w:r>
    </w:p>
    <w:p w14:paraId="24759D24" w14:textId="77777777" w:rsidR="00C346D9" w:rsidRPr="00922267" w:rsidRDefault="00C346D9" w:rsidP="00C346D9">
      <w:pPr>
        <w:ind w:left="0"/>
        <w:contextualSpacing/>
      </w:pPr>
    </w:p>
    <w:p w14:paraId="590B21FE" w14:textId="77777777" w:rsidR="00487143" w:rsidRPr="00C03701" w:rsidRDefault="00487143" w:rsidP="00C03701">
      <w:pPr>
        <w:ind w:left="0"/>
        <w:rPr>
          <w:szCs w:val="28"/>
        </w:rPr>
      </w:pPr>
      <w:r w:rsidRPr="00C03701">
        <w:rPr>
          <w:b/>
          <w:i/>
          <w:szCs w:val="28"/>
        </w:rPr>
        <w:t>Anticipated Announcement and State Award Dates</w:t>
      </w:r>
      <w:r w:rsidRPr="00C03701">
        <w:rPr>
          <w:szCs w:val="28"/>
        </w:rPr>
        <w:t xml:space="preserve"> </w:t>
      </w:r>
    </w:p>
    <w:p w14:paraId="1B23FB92" w14:textId="77777777" w:rsidR="00487143" w:rsidRPr="00017495" w:rsidRDefault="00487143" w:rsidP="00487143">
      <w:pPr>
        <w:ind w:left="540" w:hanging="630"/>
        <w:rPr>
          <w:sz w:val="28"/>
          <w:szCs w:val="28"/>
        </w:rPr>
      </w:pPr>
    </w:p>
    <w:tbl>
      <w:tblPr>
        <w:tblStyle w:val="TableGrid"/>
        <w:tblW w:w="9085" w:type="dxa"/>
        <w:jc w:val="center"/>
        <w:tblLook w:val="04A0" w:firstRow="1" w:lastRow="0" w:firstColumn="1" w:lastColumn="0" w:noHBand="0" w:noVBand="1"/>
      </w:tblPr>
      <w:tblGrid>
        <w:gridCol w:w="5665"/>
        <w:gridCol w:w="3420"/>
      </w:tblGrid>
      <w:tr w:rsidR="00487143" w:rsidRPr="00017495" w14:paraId="47B7EE86" w14:textId="77777777" w:rsidTr="00CD061B">
        <w:trPr>
          <w:jc w:val="center"/>
        </w:trPr>
        <w:tc>
          <w:tcPr>
            <w:tcW w:w="5665" w:type="dxa"/>
          </w:tcPr>
          <w:p w14:paraId="4E76D1E7" w14:textId="77777777" w:rsidR="00487143" w:rsidRPr="00C03701" w:rsidRDefault="00487143" w:rsidP="00CD061B">
            <w:pPr>
              <w:jc w:val="center"/>
              <w:rPr>
                <w:rFonts w:ascii="Times New Roman" w:hAnsi="Times New Roman" w:cs="Times New Roman"/>
                <w:b/>
                <w:sz w:val="24"/>
                <w:szCs w:val="24"/>
              </w:rPr>
            </w:pPr>
            <w:r w:rsidRPr="00C03701">
              <w:rPr>
                <w:rFonts w:ascii="Times New Roman" w:hAnsi="Times New Roman" w:cs="Times New Roman"/>
                <w:b/>
                <w:sz w:val="24"/>
                <w:szCs w:val="24"/>
              </w:rPr>
              <w:t>Milestones</w:t>
            </w:r>
          </w:p>
        </w:tc>
        <w:tc>
          <w:tcPr>
            <w:tcW w:w="3420" w:type="dxa"/>
          </w:tcPr>
          <w:p w14:paraId="3F5F57CB" w14:textId="77777777" w:rsidR="00487143" w:rsidRPr="00C03701" w:rsidRDefault="00487143" w:rsidP="00CD061B">
            <w:pPr>
              <w:jc w:val="center"/>
              <w:rPr>
                <w:rFonts w:ascii="Times New Roman" w:hAnsi="Times New Roman" w:cs="Times New Roman"/>
                <w:b/>
                <w:sz w:val="24"/>
                <w:szCs w:val="24"/>
              </w:rPr>
            </w:pPr>
            <w:r w:rsidRPr="00C03701">
              <w:rPr>
                <w:rFonts w:ascii="Times New Roman" w:hAnsi="Times New Roman" w:cs="Times New Roman"/>
                <w:b/>
                <w:sz w:val="24"/>
                <w:szCs w:val="24"/>
              </w:rPr>
              <w:t>Target Date</w:t>
            </w:r>
          </w:p>
        </w:tc>
      </w:tr>
      <w:tr w:rsidR="00487143" w:rsidRPr="00017495" w14:paraId="6D4E1451" w14:textId="77777777" w:rsidTr="00CD061B">
        <w:trPr>
          <w:jc w:val="center"/>
        </w:trPr>
        <w:tc>
          <w:tcPr>
            <w:tcW w:w="5665" w:type="dxa"/>
          </w:tcPr>
          <w:p w14:paraId="7646541B" w14:textId="77777777" w:rsidR="00487143" w:rsidRPr="00C03701" w:rsidRDefault="00487143" w:rsidP="00CD061B">
            <w:pPr>
              <w:rPr>
                <w:rFonts w:ascii="Times New Roman" w:hAnsi="Times New Roman" w:cs="Times New Roman"/>
                <w:sz w:val="24"/>
                <w:szCs w:val="24"/>
              </w:rPr>
            </w:pPr>
            <w:r w:rsidRPr="00C03701">
              <w:rPr>
                <w:rFonts w:ascii="Times New Roman" w:hAnsi="Times New Roman" w:cs="Times New Roman"/>
                <w:sz w:val="24"/>
                <w:szCs w:val="24"/>
              </w:rPr>
              <w:t>Release of NOFO and open application</w:t>
            </w:r>
            <w:r w:rsidRPr="00C03701">
              <w:rPr>
                <w:rFonts w:ascii="Times New Roman" w:hAnsi="Times New Roman" w:cs="Times New Roman"/>
                <w:sz w:val="24"/>
                <w:szCs w:val="24"/>
              </w:rPr>
              <w:tab/>
            </w:r>
          </w:p>
        </w:tc>
        <w:tc>
          <w:tcPr>
            <w:tcW w:w="3420" w:type="dxa"/>
          </w:tcPr>
          <w:p w14:paraId="03159051" w14:textId="290BD8FB" w:rsidR="00487143" w:rsidRPr="00C03701" w:rsidRDefault="00995046" w:rsidP="00BF4EBB">
            <w:pPr>
              <w:jc w:val="center"/>
              <w:rPr>
                <w:rFonts w:ascii="Times New Roman" w:hAnsi="Times New Roman" w:cs="Times New Roman"/>
                <w:sz w:val="24"/>
                <w:szCs w:val="24"/>
              </w:rPr>
            </w:pPr>
            <w:r>
              <w:rPr>
                <w:rFonts w:ascii="Times New Roman" w:hAnsi="Times New Roman" w:cs="Times New Roman"/>
                <w:sz w:val="24"/>
                <w:szCs w:val="24"/>
              </w:rPr>
              <w:t>September 26</w:t>
            </w:r>
            <w:r w:rsidR="002A16D1">
              <w:rPr>
                <w:rFonts w:ascii="Times New Roman" w:hAnsi="Times New Roman" w:cs="Times New Roman"/>
                <w:sz w:val="24"/>
                <w:szCs w:val="24"/>
              </w:rPr>
              <w:t xml:space="preserve">, </w:t>
            </w:r>
            <w:r w:rsidR="00DB208A" w:rsidRPr="00DF64FC">
              <w:rPr>
                <w:rFonts w:ascii="Times New Roman" w:hAnsi="Times New Roman" w:cs="Times New Roman"/>
                <w:sz w:val="24"/>
                <w:szCs w:val="24"/>
              </w:rPr>
              <w:t>2018</w:t>
            </w:r>
          </w:p>
        </w:tc>
      </w:tr>
      <w:tr w:rsidR="00AC2A95" w:rsidRPr="000D3A8C" w14:paraId="701601FF" w14:textId="77777777" w:rsidTr="001A7635">
        <w:trPr>
          <w:jc w:val="center"/>
        </w:trPr>
        <w:tc>
          <w:tcPr>
            <w:tcW w:w="5665" w:type="dxa"/>
          </w:tcPr>
          <w:p w14:paraId="077EB1B8" w14:textId="77777777" w:rsidR="00AC2A95" w:rsidRPr="00017495" w:rsidRDefault="00AC2A95" w:rsidP="001A7635">
            <w:pPr>
              <w:rPr>
                <w:rFonts w:ascii="Times New Roman" w:hAnsi="Times New Roman" w:cs="Times New Roman"/>
                <w:sz w:val="24"/>
                <w:szCs w:val="28"/>
              </w:rPr>
            </w:pPr>
            <w:r w:rsidRPr="00017495">
              <w:rPr>
                <w:rFonts w:ascii="Times New Roman" w:hAnsi="Times New Roman" w:cs="Times New Roman"/>
                <w:sz w:val="24"/>
              </w:rPr>
              <w:t>Notice of Intent due</w:t>
            </w:r>
          </w:p>
        </w:tc>
        <w:tc>
          <w:tcPr>
            <w:tcW w:w="3420" w:type="dxa"/>
          </w:tcPr>
          <w:p w14:paraId="2274A621" w14:textId="29D7D58F" w:rsidR="00AC2A95" w:rsidRPr="000D3A8C" w:rsidRDefault="00DB208A" w:rsidP="001A7635">
            <w:pPr>
              <w:jc w:val="center"/>
              <w:rPr>
                <w:rFonts w:ascii="Times New Roman" w:hAnsi="Times New Roman" w:cs="Times New Roman"/>
                <w:sz w:val="24"/>
                <w:szCs w:val="28"/>
              </w:rPr>
            </w:pPr>
            <w:r>
              <w:rPr>
                <w:rFonts w:ascii="Times New Roman" w:hAnsi="Times New Roman" w:cs="Times New Roman"/>
                <w:sz w:val="24"/>
                <w:szCs w:val="28"/>
              </w:rPr>
              <w:t xml:space="preserve">October </w:t>
            </w:r>
            <w:r w:rsidR="002A16D1">
              <w:rPr>
                <w:rFonts w:ascii="Times New Roman" w:hAnsi="Times New Roman" w:cs="Times New Roman"/>
                <w:sz w:val="24"/>
                <w:szCs w:val="28"/>
              </w:rPr>
              <w:t>12</w:t>
            </w:r>
            <w:r>
              <w:rPr>
                <w:rFonts w:ascii="Times New Roman" w:hAnsi="Times New Roman" w:cs="Times New Roman"/>
                <w:sz w:val="24"/>
                <w:szCs w:val="28"/>
              </w:rPr>
              <w:t>, 2018</w:t>
            </w:r>
          </w:p>
        </w:tc>
      </w:tr>
      <w:tr w:rsidR="001D575A" w:rsidRPr="000D3A8C" w14:paraId="4C7D68C2" w14:textId="77777777" w:rsidTr="00B65FBF">
        <w:trPr>
          <w:jc w:val="center"/>
        </w:trPr>
        <w:tc>
          <w:tcPr>
            <w:tcW w:w="5665" w:type="dxa"/>
          </w:tcPr>
          <w:p w14:paraId="5C5BA361" w14:textId="77777777" w:rsidR="001D575A" w:rsidRPr="00017495" w:rsidRDefault="001D575A" w:rsidP="00B65FBF">
            <w:pPr>
              <w:rPr>
                <w:rFonts w:ascii="Times New Roman" w:hAnsi="Times New Roman" w:cs="Times New Roman"/>
                <w:sz w:val="24"/>
                <w:szCs w:val="28"/>
              </w:rPr>
            </w:pPr>
            <w:r w:rsidRPr="00017495">
              <w:rPr>
                <w:rFonts w:ascii="Times New Roman" w:hAnsi="Times New Roman" w:cs="Times New Roman"/>
                <w:sz w:val="24"/>
              </w:rPr>
              <w:t>Last date for submission of questions</w:t>
            </w:r>
          </w:p>
        </w:tc>
        <w:tc>
          <w:tcPr>
            <w:tcW w:w="3420" w:type="dxa"/>
          </w:tcPr>
          <w:p w14:paraId="429796B5" w14:textId="5828960E" w:rsidR="001D575A" w:rsidRPr="000D3A8C" w:rsidRDefault="00DB208A" w:rsidP="00B65FBF">
            <w:pPr>
              <w:jc w:val="center"/>
              <w:rPr>
                <w:rFonts w:ascii="Times New Roman" w:hAnsi="Times New Roman" w:cs="Times New Roman"/>
                <w:sz w:val="24"/>
                <w:szCs w:val="28"/>
              </w:rPr>
            </w:pPr>
            <w:r>
              <w:rPr>
                <w:rFonts w:ascii="Times New Roman" w:hAnsi="Times New Roman" w:cs="Times New Roman"/>
                <w:sz w:val="24"/>
                <w:szCs w:val="28"/>
              </w:rPr>
              <w:t xml:space="preserve">October </w:t>
            </w:r>
            <w:r w:rsidR="002A16D1">
              <w:rPr>
                <w:rFonts w:ascii="Times New Roman" w:hAnsi="Times New Roman" w:cs="Times New Roman"/>
                <w:sz w:val="24"/>
                <w:szCs w:val="28"/>
              </w:rPr>
              <w:t>18</w:t>
            </w:r>
            <w:r>
              <w:rPr>
                <w:rFonts w:ascii="Times New Roman" w:hAnsi="Times New Roman" w:cs="Times New Roman"/>
                <w:sz w:val="24"/>
                <w:szCs w:val="28"/>
              </w:rPr>
              <w:t>, 2018</w:t>
            </w:r>
          </w:p>
        </w:tc>
      </w:tr>
      <w:tr w:rsidR="00487143" w:rsidRPr="00017495" w14:paraId="4E7B71E2" w14:textId="77777777" w:rsidTr="00CD061B">
        <w:trPr>
          <w:jc w:val="center"/>
        </w:trPr>
        <w:tc>
          <w:tcPr>
            <w:tcW w:w="5665" w:type="dxa"/>
          </w:tcPr>
          <w:p w14:paraId="45B3A19C" w14:textId="08BC7FE0" w:rsidR="00487143" w:rsidRPr="00017495" w:rsidRDefault="00487143" w:rsidP="0057739E">
            <w:pPr>
              <w:rPr>
                <w:rFonts w:ascii="Times New Roman" w:hAnsi="Times New Roman" w:cs="Times New Roman"/>
                <w:sz w:val="24"/>
                <w:szCs w:val="28"/>
              </w:rPr>
            </w:pPr>
            <w:r w:rsidRPr="00017495">
              <w:rPr>
                <w:rFonts w:ascii="Times New Roman" w:hAnsi="Times New Roman" w:cs="Times New Roman"/>
                <w:sz w:val="24"/>
              </w:rPr>
              <w:t xml:space="preserve">Application </w:t>
            </w:r>
            <w:r w:rsidR="0057739E">
              <w:rPr>
                <w:rFonts w:ascii="Times New Roman" w:hAnsi="Times New Roman" w:cs="Times New Roman"/>
                <w:sz w:val="24"/>
              </w:rPr>
              <w:t>c</w:t>
            </w:r>
            <w:r w:rsidR="0057739E" w:rsidRPr="00017495">
              <w:rPr>
                <w:rFonts w:ascii="Times New Roman" w:hAnsi="Times New Roman" w:cs="Times New Roman"/>
                <w:sz w:val="24"/>
              </w:rPr>
              <w:t>loses</w:t>
            </w:r>
          </w:p>
        </w:tc>
        <w:tc>
          <w:tcPr>
            <w:tcW w:w="3420" w:type="dxa"/>
          </w:tcPr>
          <w:p w14:paraId="174BB56A" w14:textId="28117F63" w:rsidR="00487143" w:rsidRPr="000D3A8C" w:rsidRDefault="00DB208A" w:rsidP="00BF4EBB">
            <w:pPr>
              <w:jc w:val="center"/>
              <w:rPr>
                <w:rFonts w:ascii="Times New Roman" w:hAnsi="Times New Roman" w:cs="Times New Roman"/>
                <w:sz w:val="24"/>
                <w:szCs w:val="24"/>
              </w:rPr>
            </w:pPr>
            <w:r>
              <w:rPr>
                <w:rFonts w:ascii="Times New Roman" w:hAnsi="Times New Roman" w:cs="Times New Roman"/>
                <w:sz w:val="24"/>
                <w:szCs w:val="24"/>
              </w:rPr>
              <w:t xml:space="preserve">October </w:t>
            </w:r>
            <w:r w:rsidR="002A16D1">
              <w:rPr>
                <w:rFonts w:ascii="Times New Roman" w:hAnsi="Times New Roman" w:cs="Times New Roman"/>
                <w:sz w:val="24"/>
                <w:szCs w:val="24"/>
              </w:rPr>
              <w:t>26</w:t>
            </w:r>
            <w:r>
              <w:rPr>
                <w:rFonts w:ascii="Times New Roman" w:hAnsi="Times New Roman" w:cs="Times New Roman"/>
                <w:sz w:val="24"/>
                <w:szCs w:val="24"/>
              </w:rPr>
              <w:t>, 2018</w:t>
            </w:r>
          </w:p>
        </w:tc>
      </w:tr>
      <w:tr w:rsidR="00487143" w:rsidRPr="00017495" w14:paraId="15D72833" w14:textId="77777777" w:rsidTr="00CD061B">
        <w:trPr>
          <w:jc w:val="center"/>
        </w:trPr>
        <w:tc>
          <w:tcPr>
            <w:tcW w:w="5665" w:type="dxa"/>
          </w:tcPr>
          <w:p w14:paraId="1C13BBFB" w14:textId="5DC7A483" w:rsidR="00487143" w:rsidRPr="00017495" w:rsidRDefault="00487143" w:rsidP="0057739E">
            <w:pPr>
              <w:rPr>
                <w:rFonts w:ascii="Times New Roman" w:hAnsi="Times New Roman" w:cs="Times New Roman"/>
                <w:sz w:val="24"/>
                <w:szCs w:val="28"/>
              </w:rPr>
            </w:pPr>
            <w:r w:rsidRPr="00017495">
              <w:rPr>
                <w:rFonts w:ascii="Times New Roman" w:hAnsi="Times New Roman" w:cs="Times New Roman"/>
                <w:sz w:val="24"/>
              </w:rPr>
              <w:t xml:space="preserve">Oversight Board </w:t>
            </w:r>
            <w:r w:rsidR="0057739E">
              <w:rPr>
                <w:rFonts w:ascii="Times New Roman" w:hAnsi="Times New Roman" w:cs="Times New Roman"/>
                <w:sz w:val="24"/>
              </w:rPr>
              <w:t>m</w:t>
            </w:r>
            <w:r w:rsidR="0057739E" w:rsidRPr="00017495">
              <w:rPr>
                <w:rFonts w:ascii="Times New Roman" w:hAnsi="Times New Roman" w:cs="Times New Roman"/>
                <w:sz w:val="24"/>
              </w:rPr>
              <w:t>eeting</w:t>
            </w:r>
          </w:p>
        </w:tc>
        <w:tc>
          <w:tcPr>
            <w:tcW w:w="3420" w:type="dxa"/>
          </w:tcPr>
          <w:p w14:paraId="3C1F3F96" w14:textId="66D59727" w:rsidR="00487143" w:rsidRPr="000D3A8C" w:rsidRDefault="00DB208A" w:rsidP="00CD061B">
            <w:pPr>
              <w:jc w:val="center"/>
              <w:rPr>
                <w:rFonts w:ascii="Times New Roman" w:hAnsi="Times New Roman" w:cs="Times New Roman"/>
                <w:sz w:val="24"/>
                <w:szCs w:val="24"/>
              </w:rPr>
            </w:pPr>
            <w:r>
              <w:rPr>
                <w:rFonts w:ascii="Times New Roman" w:hAnsi="Times New Roman" w:cs="Times New Roman"/>
                <w:sz w:val="24"/>
                <w:szCs w:val="24"/>
              </w:rPr>
              <w:t xml:space="preserve">November </w:t>
            </w:r>
            <w:r w:rsidR="00493698">
              <w:rPr>
                <w:rFonts w:ascii="Times New Roman" w:hAnsi="Times New Roman" w:cs="Times New Roman"/>
                <w:sz w:val="24"/>
                <w:szCs w:val="24"/>
              </w:rPr>
              <w:t>19, 2018</w:t>
            </w:r>
          </w:p>
        </w:tc>
      </w:tr>
      <w:tr w:rsidR="00487143" w:rsidRPr="00017495" w14:paraId="63736F60" w14:textId="77777777" w:rsidTr="00CD061B">
        <w:trPr>
          <w:jc w:val="center"/>
        </w:trPr>
        <w:tc>
          <w:tcPr>
            <w:tcW w:w="5665" w:type="dxa"/>
          </w:tcPr>
          <w:p w14:paraId="7A2DE3AC" w14:textId="0D4BF4DE" w:rsidR="00487143" w:rsidRPr="00017495" w:rsidRDefault="00487143" w:rsidP="0057739E">
            <w:pPr>
              <w:rPr>
                <w:rFonts w:ascii="Times New Roman" w:hAnsi="Times New Roman" w:cs="Times New Roman"/>
                <w:sz w:val="24"/>
              </w:rPr>
            </w:pPr>
            <w:r w:rsidRPr="00017495">
              <w:rPr>
                <w:rFonts w:ascii="Times New Roman" w:hAnsi="Times New Roman" w:cs="Times New Roman"/>
                <w:sz w:val="24"/>
              </w:rPr>
              <w:t xml:space="preserve">Start </w:t>
            </w:r>
            <w:r w:rsidR="0057739E">
              <w:rPr>
                <w:rFonts w:ascii="Times New Roman" w:hAnsi="Times New Roman" w:cs="Times New Roman"/>
                <w:sz w:val="24"/>
              </w:rPr>
              <w:t>of p</w:t>
            </w:r>
            <w:r w:rsidRPr="00017495">
              <w:rPr>
                <w:rFonts w:ascii="Times New Roman" w:hAnsi="Times New Roman" w:cs="Times New Roman"/>
                <w:sz w:val="24"/>
              </w:rPr>
              <w:t xml:space="preserve">rogram </w:t>
            </w:r>
            <w:r w:rsidR="0057739E">
              <w:rPr>
                <w:rFonts w:ascii="Times New Roman" w:hAnsi="Times New Roman" w:cs="Times New Roman"/>
                <w:sz w:val="24"/>
              </w:rPr>
              <w:t>p</w:t>
            </w:r>
            <w:r w:rsidRPr="00017495">
              <w:rPr>
                <w:rFonts w:ascii="Times New Roman" w:hAnsi="Times New Roman" w:cs="Times New Roman"/>
                <w:sz w:val="24"/>
              </w:rPr>
              <w:t xml:space="preserve">erformance </w:t>
            </w:r>
            <w:r w:rsidR="0057739E">
              <w:rPr>
                <w:rFonts w:ascii="Times New Roman" w:hAnsi="Times New Roman" w:cs="Times New Roman"/>
                <w:sz w:val="24"/>
              </w:rPr>
              <w:t>p</w:t>
            </w:r>
            <w:r w:rsidRPr="00017495">
              <w:rPr>
                <w:rFonts w:ascii="Times New Roman" w:hAnsi="Times New Roman" w:cs="Times New Roman"/>
                <w:sz w:val="24"/>
              </w:rPr>
              <w:t>eriod</w:t>
            </w:r>
          </w:p>
        </w:tc>
        <w:tc>
          <w:tcPr>
            <w:tcW w:w="3420" w:type="dxa"/>
          </w:tcPr>
          <w:p w14:paraId="4D8431B3" w14:textId="0FA95B29" w:rsidR="00487143" w:rsidRPr="000D3A8C" w:rsidRDefault="00DB208A" w:rsidP="00CD061B">
            <w:pPr>
              <w:jc w:val="center"/>
              <w:rPr>
                <w:rFonts w:ascii="Times New Roman" w:hAnsi="Times New Roman" w:cs="Times New Roman"/>
                <w:sz w:val="24"/>
                <w:szCs w:val="28"/>
              </w:rPr>
            </w:pPr>
            <w:r>
              <w:rPr>
                <w:rFonts w:ascii="Times New Roman" w:hAnsi="Times New Roman" w:cs="Times New Roman"/>
                <w:sz w:val="24"/>
                <w:szCs w:val="28"/>
              </w:rPr>
              <w:t>January 1, 2019</w:t>
            </w:r>
          </w:p>
        </w:tc>
      </w:tr>
    </w:tbl>
    <w:p w14:paraId="1BB7E3FC" w14:textId="77777777" w:rsidR="007F6AFF" w:rsidRDefault="007F6AFF" w:rsidP="00C03701">
      <w:pPr>
        <w:tabs>
          <w:tab w:val="left" w:pos="900"/>
        </w:tabs>
        <w:ind w:left="0"/>
        <w:rPr>
          <w:b/>
          <w:i/>
          <w:szCs w:val="28"/>
        </w:rPr>
      </w:pPr>
    </w:p>
    <w:p w14:paraId="2689D495" w14:textId="77777777" w:rsidR="00DB06DC" w:rsidRPr="00C03701" w:rsidRDefault="00DB06DC" w:rsidP="00C03701">
      <w:pPr>
        <w:tabs>
          <w:tab w:val="left" w:pos="900"/>
        </w:tabs>
        <w:ind w:left="0"/>
        <w:rPr>
          <w:b/>
          <w:i/>
          <w:szCs w:val="28"/>
        </w:rPr>
      </w:pPr>
      <w:r w:rsidRPr="00C03701">
        <w:rPr>
          <w:b/>
          <w:i/>
          <w:szCs w:val="28"/>
        </w:rPr>
        <w:t>Appeals Process</w:t>
      </w:r>
    </w:p>
    <w:p w14:paraId="10AD2515" w14:textId="77777777" w:rsidR="00DB06DC" w:rsidRPr="00017495" w:rsidRDefault="00DB06DC" w:rsidP="00DB06DC">
      <w:pPr>
        <w:widowControl w:val="0"/>
        <w:ind w:left="1080"/>
        <w:jc w:val="both"/>
      </w:pPr>
    </w:p>
    <w:p w14:paraId="5D745F02" w14:textId="4FC0888C" w:rsidR="00DB06DC" w:rsidRPr="00017495" w:rsidRDefault="00DB06DC" w:rsidP="00DB06DC">
      <w:pPr>
        <w:widowControl w:val="0"/>
        <w:ind w:left="0"/>
      </w:pPr>
      <w:r w:rsidRPr="00017495">
        <w:t>Unsuccessful applicants may request a formal appeal. Only the evaluation process is subject to appeal. Evaluation scores and funding determinations may not be contested and will not be considered by ICJIA’s Appeals Review Officer. The appeal must be via email and submitted within</w:t>
      </w:r>
      <w:r w:rsidR="00D96817">
        <w:t xml:space="preserve"> fourteen</w:t>
      </w:r>
      <w:r w:rsidRPr="00017495">
        <w:t xml:space="preserve"> </w:t>
      </w:r>
      <w:r w:rsidR="00D96817">
        <w:t>(</w:t>
      </w:r>
      <w:r w:rsidRPr="00017495">
        <w:t>14</w:t>
      </w:r>
      <w:r w:rsidR="00D96817">
        <w:t>)</w:t>
      </w:r>
      <w:r w:rsidRPr="00017495">
        <w:t xml:space="preserve"> calendar days after either the date the grant award notice is published or receipt of a Funding Opportunity Declination Letter from ICJIA, whichever comes first. The written appeal must include, at a minimum, the following:</w:t>
      </w:r>
    </w:p>
    <w:p w14:paraId="546DBB66" w14:textId="77777777" w:rsidR="00DB06DC" w:rsidRPr="00017495" w:rsidRDefault="00DB06DC" w:rsidP="00DB06DC">
      <w:pPr>
        <w:widowControl w:val="0"/>
        <w:ind w:left="0"/>
        <w:jc w:val="both"/>
      </w:pPr>
    </w:p>
    <w:p w14:paraId="10BB1292" w14:textId="77777777" w:rsidR="00DB06DC" w:rsidRPr="00017495" w:rsidRDefault="00DB06DC" w:rsidP="00DB06DC">
      <w:pPr>
        <w:widowControl w:val="0"/>
        <w:numPr>
          <w:ilvl w:val="0"/>
          <w:numId w:val="4"/>
        </w:numPr>
        <w:ind w:left="720" w:hanging="360"/>
        <w:contextualSpacing/>
        <w:jc w:val="both"/>
      </w:pPr>
      <w:r w:rsidRPr="00017495">
        <w:t>Statement indicating a request for a formal appeal.</w:t>
      </w:r>
    </w:p>
    <w:p w14:paraId="73C42EB2" w14:textId="77777777" w:rsidR="00DB06DC" w:rsidRPr="00017495" w:rsidRDefault="00DB06DC" w:rsidP="00DB06DC">
      <w:pPr>
        <w:widowControl w:val="0"/>
        <w:numPr>
          <w:ilvl w:val="0"/>
          <w:numId w:val="4"/>
        </w:numPr>
        <w:ind w:left="720" w:hanging="360"/>
        <w:contextualSpacing/>
        <w:jc w:val="both"/>
      </w:pPr>
      <w:r w:rsidRPr="00017495">
        <w:lastRenderedPageBreak/>
        <w:t>The name and address of the appealing party.</w:t>
      </w:r>
    </w:p>
    <w:p w14:paraId="484063B1" w14:textId="77777777" w:rsidR="00DB06DC" w:rsidRPr="00017495" w:rsidRDefault="00DB06DC" w:rsidP="00DB06DC">
      <w:pPr>
        <w:widowControl w:val="0"/>
        <w:numPr>
          <w:ilvl w:val="0"/>
          <w:numId w:val="4"/>
        </w:numPr>
        <w:ind w:left="720" w:hanging="360"/>
        <w:contextualSpacing/>
        <w:jc w:val="both"/>
      </w:pPr>
      <w:r w:rsidRPr="00017495">
        <w:t>Identification of the grant program.</w:t>
      </w:r>
    </w:p>
    <w:p w14:paraId="693D4F0C" w14:textId="77777777" w:rsidR="00DB06DC" w:rsidRPr="00017495" w:rsidRDefault="00DB06DC" w:rsidP="00DB06DC">
      <w:pPr>
        <w:widowControl w:val="0"/>
        <w:numPr>
          <w:ilvl w:val="0"/>
          <w:numId w:val="4"/>
        </w:numPr>
        <w:ind w:left="720" w:hanging="360"/>
        <w:contextualSpacing/>
        <w:jc w:val="both"/>
      </w:pPr>
      <w:r w:rsidRPr="00017495">
        <w:t xml:space="preserve">A statement of reason for the appeal. </w:t>
      </w:r>
    </w:p>
    <w:p w14:paraId="700E5FB7" w14:textId="77777777" w:rsidR="00DB06DC" w:rsidRPr="00017495" w:rsidRDefault="00DB06DC" w:rsidP="00DB06DC">
      <w:pPr>
        <w:widowControl w:val="0"/>
        <w:tabs>
          <w:tab w:val="left" w:pos="2160"/>
        </w:tabs>
        <w:ind w:left="0"/>
        <w:jc w:val="both"/>
      </w:pPr>
    </w:p>
    <w:p w14:paraId="727ADFF2" w14:textId="77777777" w:rsidR="00DB06DC" w:rsidRPr="00017495" w:rsidRDefault="00DB06DC" w:rsidP="00DB06DC">
      <w:pPr>
        <w:widowControl w:val="0"/>
        <w:ind w:left="0"/>
        <w:jc w:val="both"/>
      </w:pPr>
      <w:r w:rsidRPr="00017495">
        <w:t>Please send your appeal to:</w:t>
      </w:r>
    </w:p>
    <w:p w14:paraId="6EEE397A" w14:textId="77777777" w:rsidR="00DB06DC" w:rsidRPr="00017495" w:rsidRDefault="00DB06DC" w:rsidP="00DB06DC">
      <w:pPr>
        <w:ind w:left="0"/>
      </w:pPr>
    </w:p>
    <w:p w14:paraId="441FF32F" w14:textId="77777777" w:rsidR="00DB06DC" w:rsidRPr="00017495" w:rsidRDefault="00DB06DC" w:rsidP="00DB06DC">
      <w:pPr>
        <w:widowControl w:val="0"/>
        <w:ind w:left="0"/>
        <w:jc w:val="both"/>
      </w:pPr>
      <w:r w:rsidRPr="00017495">
        <w:t xml:space="preserve">Appeals Review Officer </w:t>
      </w:r>
    </w:p>
    <w:p w14:paraId="18C12147" w14:textId="77777777" w:rsidR="00DB06DC" w:rsidRPr="00017495" w:rsidRDefault="00DB06DC" w:rsidP="00DB06DC">
      <w:pPr>
        <w:widowControl w:val="0"/>
        <w:ind w:left="0"/>
        <w:jc w:val="both"/>
      </w:pPr>
      <w:r w:rsidRPr="00017495">
        <w:t xml:space="preserve">Illinois Criminal Justice Information Authority </w:t>
      </w:r>
    </w:p>
    <w:p w14:paraId="4426540B" w14:textId="77777777" w:rsidR="00DB06DC" w:rsidRPr="00017495" w:rsidRDefault="00903F62" w:rsidP="00DB06DC">
      <w:pPr>
        <w:widowControl w:val="0"/>
        <w:ind w:left="0"/>
        <w:jc w:val="both"/>
      </w:pPr>
      <w:hyperlink r:id="rId25" w:history="1">
        <w:r w:rsidR="00DB06DC" w:rsidRPr="00017495">
          <w:rPr>
            <w:rStyle w:val="Hyperlink"/>
          </w:rPr>
          <w:t>Cja.aro@Illinois.gov</w:t>
        </w:r>
      </w:hyperlink>
      <w:r w:rsidR="00DB06DC" w:rsidRPr="00017495">
        <w:t xml:space="preserve"> </w:t>
      </w:r>
    </w:p>
    <w:p w14:paraId="0D730D21" w14:textId="77777777" w:rsidR="00DB06DC" w:rsidRPr="00017495" w:rsidRDefault="00DB06DC" w:rsidP="00DB06DC">
      <w:pPr>
        <w:widowControl w:val="0"/>
        <w:ind w:left="0"/>
      </w:pPr>
    </w:p>
    <w:p w14:paraId="1592A981" w14:textId="77777777" w:rsidR="00D96817" w:rsidRDefault="00D96817" w:rsidP="00922267">
      <w:pPr>
        <w:pStyle w:val="ListParagraph"/>
        <w:ind w:left="0"/>
      </w:pPr>
      <w:r>
        <w:t xml:space="preserve">Once an appeal is received, ICJIA will acknowledge receipt of an appeal within 14 calendar days from the date the appeal was received. ICJIA will respond to the appeal, in writing, within 60 days or supply a written explanation as to why additional time is required. The appealing party must supply any additional information requested by ICJIA within the time period set in the request. ICJIA will resolve the appeal by means of written determination. </w:t>
      </w:r>
    </w:p>
    <w:p w14:paraId="7300530B" w14:textId="77777777" w:rsidR="001D575A" w:rsidRDefault="001D575A" w:rsidP="00922267">
      <w:pPr>
        <w:pStyle w:val="ListParagraph"/>
        <w:ind w:left="270"/>
      </w:pPr>
    </w:p>
    <w:p w14:paraId="181DEB01" w14:textId="4D14B521" w:rsidR="001D575A" w:rsidRDefault="00D96817" w:rsidP="00922267">
      <w:pPr>
        <w:ind w:left="0"/>
      </w:pPr>
      <w:r>
        <w:t xml:space="preserve">The determination will include: </w:t>
      </w:r>
    </w:p>
    <w:p w14:paraId="3DD5C74E" w14:textId="77777777" w:rsidR="001D575A" w:rsidRDefault="001D575A" w:rsidP="00922267">
      <w:pPr>
        <w:ind w:left="0"/>
      </w:pPr>
    </w:p>
    <w:p w14:paraId="4C3126EB" w14:textId="6F5D8A8A" w:rsidR="001D575A" w:rsidRDefault="00D96817" w:rsidP="00922267">
      <w:pPr>
        <w:pStyle w:val="ListParagraph"/>
        <w:numPr>
          <w:ilvl w:val="0"/>
          <w:numId w:val="57"/>
        </w:numPr>
      </w:pPr>
      <w:r>
        <w:t xml:space="preserve">Review of the appeal. </w:t>
      </w:r>
    </w:p>
    <w:p w14:paraId="1DC66E46" w14:textId="7298B270" w:rsidR="00D96817" w:rsidRDefault="00D96817" w:rsidP="00922267">
      <w:pPr>
        <w:pStyle w:val="ListParagraph"/>
        <w:numPr>
          <w:ilvl w:val="0"/>
          <w:numId w:val="57"/>
        </w:numPr>
      </w:pPr>
      <w:r>
        <w:t xml:space="preserve">Appeal determination. </w:t>
      </w:r>
    </w:p>
    <w:p w14:paraId="3C14F60D" w14:textId="67025883" w:rsidR="001D575A" w:rsidRDefault="00D96817" w:rsidP="00922267">
      <w:pPr>
        <w:pStyle w:val="ListParagraph"/>
        <w:numPr>
          <w:ilvl w:val="0"/>
          <w:numId w:val="57"/>
        </w:numPr>
      </w:pPr>
      <w:r>
        <w:t>Rationale for the determination.</w:t>
      </w:r>
    </w:p>
    <w:p w14:paraId="2203EFFF" w14:textId="10E05C40" w:rsidR="00D96817" w:rsidRDefault="00D96817" w:rsidP="00922267">
      <w:pPr>
        <w:pStyle w:val="ListParagraph"/>
        <w:numPr>
          <w:ilvl w:val="0"/>
          <w:numId w:val="57"/>
        </w:numPr>
      </w:pPr>
      <w:r>
        <w:t>Standard description of the appeal review process and criteria.</w:t>
      </w:r>
    </w:p>
    <w:p w14:paraId="01C87BE3" w14:textId="77777777" w:rsidR="00487143" w:rsidRDefault="00487143">
      <w:pPr>
        <w:rPr>
          <w:b/>
          <w:iCs/>
        </w:rPr>
      </w:pPr>
    </w:p>
    <w:p w14:paraId="5217FC57" w14:textId="24BB8D0D" w:rsidR="00223F71" w:rsidRPr="00C03701" w:rsidRDefault="00966D35" w:rsidP="00C03701">
      <w:pPr>
        <w:ind w:left="0"/>
        <w:rPr>
          <w:b/>
          <w:i/>
          <w:iCs/>
        </w:rPr>
      </w:pPr>
      <w:r w:rsidRPr="00C03701">
        <w:rPr>
          <w:b/>
          <w:i/>
          <w:iCs/>
        </w:rPr>
        <w:t>Debriefings</w:t>
      </w:r>
    </w:p>
    <w:p w14:paraId="728946CC" w14:textId="77777777" w:rsidR="00223F71" w:rsidRDefault="00223F71" w:rsidP="00223F71">
      <w:pPr>
        <w:ind w:left="0"/>
        <w:rPr>
          <w:b/>
          <w:iCs/>
        </w:rPr>
      </w:pPr>
    </w:p>
    <w:p w14:paraId="0587D307" w14:textId="0D1DFA4C" w:rsidR="00F07175" w:rsidRPr="00017495" w:rsidRDefault="00F07175" w:rsidP="00223F71">
      <w:pPr>
        <w:ind w:left="0"/>
      </w:pPr>
      <w:r w:rsidRPr="00017495">
        <w:t xml:space="preserve">Unsuccessful applicants may request a debriefing for feedback that could help them improve future funding applications. </w:t>
      </w:r>
      <w:r w:rsidR="006E750D">
        <w:t>Deb</w:t>
      </w:r>
      <w:r w:rsidRPr="00017495">
        <w:t xml:space="preserve">riefings will take the form of </w:t>
      </w:r>
      <w:r w:rsidR="00FC1D40">
        <w:t xml:space="preserve">written </w:t>
      </w:r>
      <w:r w:rsidRPr="00017495">
        <w:t xml:space="preserve">advice to applicants on the strengths and weaknesses of their applications in terms of the evaluation and review criteria. </w:t>
      </w:r>
    </w:p>
    <w:p w14:paraId="46B7624C" w14:textId="77777777" w:rsidR="00F07175" w:rsidRPr="00017495" w:rsidRDefault="00F07175" w:rsidP="00F07175">
      <w:pPr>
        <w:pStyle w:val="ListParagraph"/>
        <w:ind w:left="0"/>
      </w:pPr>
    </w:p>
    <w:p w14:paraId="0442E4A4" w14:textId="3F6ECC2B" w:rsidR="00F07175" w:rsidRDefault="00F07175" w:rsidP="00F07175">
      <w:pPr>
        <w:pStyle w:val="ListParagraph"/>
        <w:ind w:left="0"/>
      </w:pPr>
      <w:r w:rsidRPr="00017495">
        <w:t xml:space="preserve">Requests for debriefings must be made </w:t>
      </w:r>
      <w:r w:rsidR="00686B75" w:rsidRPr="00017495">
        <w:t xml:space="preserve">via email </w:t>
      </w:r>
      <w:r w:rsidRPr="00017495">
        <w:t>and submitted within seven</w:t>
      </w:r>
      <w:r w:rsidR="0005001B" w:rsidRPr="00017495">
        <w:t xml:space="preserve"> </w:t>
      </w:r>
      <w:r w:rsidRPr="00017495">
        <w:t xml:space="preserve">calendar days after receipt of notice. </w:t>
      </w:r>
      <w:r w:rsidR="00FE5027">
        <w:t>Debriefing requests will not be granted if there is an active appeal, administrative action, or court proceeding. The written debriefing request</w:t>
      </w:r>
      <w:r w:rsidR="00935897">
        <w:t>s</w:t>
      </w:r>
      <w:r w:rsidR="00FE5027">
        <w:t xml:space="preserve"> shall </w:t>
      </w:r>
      <w:r w:rsidR="00935897">
        <w:t>include</w:t>
      </w:r>
      <w:r w:rsidR="00FE5027">
        <w:t xml:space="preserve"> at a </w:t>
      </w:r>
      <w:r w:rsidR="00935897">
        <w:t>minimum</w:t>
      </w:r>
      <w:r w:rsidR="00FE5027">
        <w:t xml:space="preserve"> the </w:t>
      </w:r>
      <w:r w:rsidR="00935897">
        <w:t>following</w:t>
      </w:r>
      <w:r w:rsidR="00FE5027">
        <w:t xml:space="preserve">: </w:t>
      </w:r>
    </w:p>
    <w:p w14:paraId="4CA03123" w14:textId="55897080" w:rsidR="00FE5027" w:rsidRDefault="00FE5027" w:rsidP="00F07175">
      <w:pPr>
        <w:pStyle w:val="ListParagraph"/>
        <w:ind w:left="0"/>
      </w:pPr>
    </w:p>
    <w:p w14:paraId="00D8831E" w14:textId="05FA07D9" w:rsidR="00FE5027" w:rsidRDefault="00FE5027" w:rsidP="00935897">
      <w:pPr>
        <w:pStyle w:val="ListParagraph"/>
        <w:numPr>
          <w:ilvl w:val="0"/>
          <w:numId w:val="18"/>
        </w:numPr>
      </w:pPr>
      <w:r>
        <w:t xml:space="preserve">The </w:t>
      </w:r>
      <w:r w:rsidR="00935897">
        <w:t>name</w:t>
      </w:r>
      <w:r>
        <w:t xml:space="preserve"> and address of the </w:t>
      </w:r>
      <w:r w:rsidR="00935897">
        <w:t>requesting</w:t>
      </w:r>
      <w:r>
        <w:t xml:space="preserve"> party</w:t>
      </w:r>
      <w:r w:rsidR="00B5612F">
        <w:t>.</w:t>
      </w:r>
    </w:p>
    <w:p w14:paraId="1B8A30E4" w14:textId="640BC302" w:rsidR="00FE5027" w:rsidRDefault="00FE5027" w:rsidP="00935897">
      <w:pPr>
        <w:pStyle w:val="ListParagraph"/>
        <w:numPr>
          <w:ilvl w:val="0"/>
          <w:numId w:val="18"/>
        </w:numPr>
      </w:pPr>
      <w:r>
        <w:t>Identification of grant program</w:t>
      </w:r>
      <w:r w:rsidR="00B5612F">
        <w:t>.</w:t>
      </w:r>
    </w:p>
    <w:p w14:paraId="11620C2B" w14:textId="3244FFE4" w:rsidR="00FE5027" w:rsidRPr="00017495" w:rsidRDefault="00935897" w:rsidP="00935897">
      <w:pPr>
        <w:pStyle w:val="ListParagraph"/>
        <w:numPr>
          <w:ilvl w:val="0"/>
          <w:numId w:val="18"/>
        </w:numPr>
      </w:pPr>
      <w:r>
        <w:t>Reasons</w:t>
      </w:r>
      <w:r w:rsidR="00FE5027">
        <w:t xml:space="preserve"> for the debrief request</w:t>
      </w:r>
      <w:r w:rsidR="00B5612F">
        <w:t>.</w:t>
      </w:r>
    </w:p>
    <w:p w14:paraId="154A11B1" w14:textId="77777777" w:rsidR="00F07175" w:rsidRPr="00017495" w:rsidRDefault="00F07175" w:rsidP="00F07175">
      <w:pPr>
        <w:pStyle w:val="ListParagraph"/>
        <w:ind w:left="0"/>
      </w:pPr>
    </w:p>
    <w:p w14:paraId="559569EC" w14:textId="77777777" w:rsidR="00F07175" w:rsidRPr="00017495" w:rsidRDefault="00F07175" w:rsidP="00F07175">
      <w:pPr>
        <w:pStyle w:val="ListParagraph"/>
        <w:ind w:left="0"/>
      </w:pPr>
      <w:r w:rsidRPr="00017495">
        <w:t>Please send requests to:</w:t>
      </w:r>
    </w:p>
    <w:p w14:paraId="600D6C88" w14:textId="77777777" w:rsidR="00F07175" w:rsidRPr="00017495" w:rsidRDefault="00F07175" w:rsidP="00F07175">
      <w:pPr>
        <w:pStyle w:val="ListParagraph"/>
        <w:ind w:left="0"/>
      </w:pPr>
    </w:p>
    <w:p w14:paraId="7E098986" w14:textId="0A8695C7" w:rsidR="00F07175" w:rsidRPr="00017495" w:rsidRDefault="00F07175" w:rsidP="00F07175">
      <w:pPr>
        <w:pStyle w:val="ListParagraph"/>
        <w:ind w:left="0"/>
        <w:rPr>
          <w:color w:val="auto"/>
        </w:rPr>
      </w:pPr>
      <w:r w:rsidRPr="00017495">
        <w:rPr>
          <w:color w:val="auto"/>
        </w:rPr>
        <w:t>Adriana P</w:t>
      </w:r>
      <w:r w:rsidR="00AC2A95">
        <w:t>é</w:t>
      </w:r>
      <w:r w:rsidRPr="00017495">
        <w:rPr>
          <w:color w:val="auto"/>
        </w:rPr>
        <w:t>rez, Program Manager</w:t>
      </w:r>
    </w:p>
    <w:p w14:paraId="4EEDDE01" w14:textId="77777777" w:rsidR="00F07175" w:rsidRPr="00017495" w:rsidRDefault="00F07175" w:rsidP="00F07175">
      <w:pPr>
        <w:pStyle w:val="ListParagraph"/>
        <w:ind w:left="0"/>
        <w:rPr>
          <w:color w:val="auto"/>
        </w:rPr>
      </w:pPr>
      <w:r w:rsidRPr="00017495">
        <w:rPr>
          <w:color w:val="auto"/>
        </w:rPr>
        <w:t xml:space="preserve">Adult Redeploy Illinois </w:t>
      </w:r>
    </w:p>
    <w:p w14:paraId="166A9DD0" w14:textId="77777777" w:rsidR="00F07175" w:rsidRPr="00017495" w:rsidRDefault="00F07175" w:rsidP="00F07175">
      <w:pPr>
        <w:pStyle w:val="ListParagraph"/>
        <w:ind w:left="0"/>
      </w:pPr>
      <w:r w:rsidRPr="00017495">
        <w:lastRenderedPageBreak/>
        <w:t>Illinois Criminal Justice Information Authority</w:t>
      </w:r>
    </w:p>
    <w:p w14:paraId="1334F90D" w14:textId="2AFB6CEB" w:rsidR="00F07175" w:rsidRPr="00017495" w:rsidRDefault="00903F62" w:rsidP="00F07175">
      <w:pPr>
        <w:pStyle w:val="ListParagraph"/>
        <w:ind w:left="0"/>
      </w:pPr>
      <w:hyperlink r:id="rId26" w:history="1">
        <w:r w:rsidR="00725744" w:rsidRPr="00017495">
          <w:rPr>
            <w:rStyle w:val="Hyperlink"/>
          </w:rPr>
          <w:t>Adriana.Perez@Illinois.gov</w:t>
        </w:r>
      </w:hyperlink>
      <w:r w:rsidR="00725744" w:rsidRPr="00017495">
        <w:t xml:space="preserve"> </w:t>
      </w:r>
    </w:p>
    <w:p w14:paraId="7BC2D465" w14:textId="77777777" w:rsidR="00D60D04" w:rsidRPr="00017495" w:rsidRDefault="00D60D04" w:rsidP="00DA0C7B">
      <w:pPr>
        <w:ind w:left="0"/>
        <w:rPr>
          <w:b/>
          <w:i/>
          <w:szCs w:val="28"/>
        </w:rPr>
      </w:pPr>
    </w:p>
    <w:p w14:paraId="0C2F9B5C" w14:textId="682CB5E7" w:rsidR="00E60526" w:rsidRPr="00017495" w:rsidRDefault="00AC2A95" w:rsidP="00881076">
      <w:pPr>
        <w:pStyle w:val="ListParagraph"/>
        <w:ind w:left="0"/>
      </w:pPr>
      <w:bookmarkStart w:id="5" w:name="_Hlk518023888"/>
      <w:r>
        <w:rPr>
          <w:b/>
          <w:sz w:val="28"/>
          <w:szCs w:val="28"/>
        </w:rPr>
        <w:t>I</w:t>
      </w:r>
      <w:r w:rsidR="00E90ECE" w:rsidRPr="00017495">
        <w:rPr>
          <w:b/>
          <w:sz w:val="28"/>
          <w:szCs w:val="28"/>
        </w:rPr>
        <w:t>. Award Administration Information</w:t>
      </w:r>
      <w:bookmarkEnd w:id="5"/>
      <w:r w:rsidR="00E90ECE" w:rsidRPr="00017495">
        <w:rPr>
          <w:b/>
          <w:sz w:val="28"/>
          <w:szCs w:val="28"/>
        </w:rPr>
        <w:br/>
      </w:r>
    </w:p>
    <w:p w14:paraId="1967D3B1" w14:textId="5E35BA74" w:rsidR="001B1092" w:rsidRPr="00017495" w:rsidRDefault="002C15FE" w:rsidP="00881076">
      <w:pPr>
        <w:pStyle w:val="ListParagraph"/>
        <w:ind w:left="0"/>
      </w:pPr>
      <w:r w:rsidRPr="00017495">
        <w:t>ICJIA</w:t>
      </w:r>
      <w:r w:rsidR="001B1092" w:rsidRPr="00017495">
        <w:t xml:space="preserve"> will transmit a Notice of State Award (NOSA) </w:t>
      </w:r>
      <w:r w:rsidR="006E750D">
        <w:t xml:space="preserve">and the grant agreement </w:t>
      </w:r>
      <w:r w:rsidR="001B1092" w:rsidRPr="00017495">
        <w:t>to successful applicants after the ARI Oversight Board reviews and approves designations</w:t>
      </w:r>
      <w:r w:rsidR="0057739E">
        <w:t xml:space="preserve"> at its meeting scheduled</w:t>
      </w:r>
      <w:r w:rsidR="001B1092" w:rsidRPr="00017495">
        <w:t xml:space="preserve"> on </w:t>
      </w:r>
      <w:r w:rsidR="00493698">
        <w:t>November 19</w:t>
      </w:r>
      <w:r w:rsidR="001B1092" w:rsidRPr="00017495">
        <w:t>, 201</w:t>
      </w:r>
      <w:r w:rsidR="006B2591">
        <w:t>8</w:t>
      </w:r>
      <w:r w:rsidR="001B1092" w:rsidRPr="00017495">
        <w:t xml:space="preserve">. The NOSA will detail specific conditions that will be included in the grant agreement. Applicant agencies must return the signed NOSA before the </w:t>
      </w:r>
      <w:r w:rsidR="00D60D04">
        <w:t xml:space="preserve">agreement is executed. </w:t>
      </w:r>
    </w:p>
    <w:p w14:paraId="3F30FAC7" w14:textId="77777777" w:rsidR="001B1092" w:rsidRPr="00017495" w:rsidRDefault="001B1092" w:rsidP="00881076">
      <w:pPr>
        <w:pStyle w:val="ListParagraph"/>
        <w:ind w:left="0"/>
      </w:pPr>
    </w:p>
    <w:p w14:paraId="4AA3D26D" w14:textId="18C1D07D" w:rsidR="00B40CD5" w:rsidRDefault="00B40CD5" w:rsidP="00C03701">
      <w:pPr>
        <w:ind w:left="0"/>
      </w:pPr>
      <w:r>
        <w:t xml:space="preserve">ICJIA also requires additional documents to be submitted prior to the execution of an agreement: </w:t>
      </w:r>
    </w:p>
    <w:p w14:paraId="4C98F13C" w14:textId="77777777" w:rsidR="00B40CD5" w:rsidRDefault="00B40CD5">
      <w:pPr>
        <w:pStyle w:val="ListParagraph"/>
        <w:ind w:left="0"/>
      </w:pPr>
    </w:p>
    <w:p w14:paraId="5232CDD9" w14:textId="415CAFAA" w:rsidR="001B1092" w:rsidRPr="00017495" w:rsidRDefault="001B1092" w:rsidP="00725744">
      <w:pPr>
        <w:pStyle w:val="ListParagraph"/>
        <w:numPr>
          <w:ilvl w:val="1"/>
          <w:numId w:val="9"/>
        </w:numPr>
        <w:ind w:left="720"/>
      </w:pPr>
      <w:r w:rsidRPr="00017495">
        <w:t>Fiscal Information Sheet</w:t>
      </w:r>
    </w:p>
    <w:p w14:paraId="020FCF35" w14:textId="3D1CD723" w:rsidR="001B1092" w:rsidRPr="00017495" w:rsidRDefault="001B1092" w:rsidP="00725744">
      <w:pPr>
        <w:pStyle w:val="ListParagraph"/>
        <w:numPr>
          <w:ilvl w:val="1"/>
          <w:numId w:val="9"/>
        </w:numPr>
        <w:ind w:left="720"/>
      </w:pPr>
      <w:r w:rsidRPr="00017495">
        <w:t xml:space="preserve">Audit Information Sheet </w:t>
      </w:r>
    </w:p>
    <w:p w14:paraId="338CE1C5" w14:textId="0B25A9B7" w:rsidR="001B1092" w:rsidRDefault="001B1092" w:rsidP="00725744">
      <w:pPr>
        <w:pStyle w:val="ListParagraph"/>
        <w:numPr>
          <w:ilvl w:val="1"/>
          <w:numId w:val="9"/>
        </w:numPr>
        <w:ind w:left="720"/>
      </w:pPr>
      <w:r w:rsidRPr="00017495">
        <w:t>Programmatic Risk Assessment</w:t>
      </w:r>
    </w:p>
    <w:p w14:paraId="3EEC8DB9" w14:textId="3D4AF3A5" w:rsidR="00B40CD5" w:rsidRPr="00017495" w:rsidRDefault="00B40CD5" w:rsidP="00725744">
      <w:pPr>
        <w:pStyle w:val="ListParagraph"/>
        <w:numPr>
          <w:ilvl w:val="1"/>
          <w:numId w:val="9"/>
        </w:numPr>
        <w:ind w:left="720"/>
      </w:pPr>
      <w:r>
        <w:t xml:space="preserve">Civil Rights Compliance Questionnaire </w:t>
      </w:r>
    </w:p>
    <w:p w14:paraId="3EBE2147" w14:textId="77777777" w:rsidR="001B1092" w:rsidRPr="00017495" w:rsidRDefault="001B1092">
      <w:pPr>
        <w:ind w:left="0"/>
      </w:pPr>
    </w:p>
    <w:p w14:paraId="65CAA852" w14:textId="77777777" w:rsidR="001B1092" w:rsidRPr="00017495" w:rsidRDefault="001B1092" w:rsidP="00881076">
      <w:pPr>
        <w:pStyle w:val="ListParagraph"/>
        <w:spacing w:line="276" w:lineRule="auto"/>
        <w:ind w:left="0"/>
        <w:rPr>
          <w:b/>
          <w:i/>
          <w:iCs/>
        </w:rPr>
      </w:pPr>
      <w:r w:rsidRPr="00017495">
        <w:rPr>
          <w:b/>
          <w:i/>
          <w:iCs/>
        </w:rPr>
        <w:t xml:space="preserve">Administrative and National Policy Requirements </w:t>
      </w:r>
    </w:p>
    <w:p w14:paraId="21A4C4AE" w14:textId="77777777" w:rsidR="00C33A7A" w:rsidRPr="00017495" w:rsidRDefault="00C33A7A" w:rsidP="00881076">
      <w:pPr>
        <w:pStyle w:val="ListParagraph"/>
        <w:spacing w:line="276" w:lineRule="auto"/>
        <w:ind w:left="0"/>
        <w:rPr>
          <w:iCs/>
        </w:rPr>
      </w:pPr>
    </w:p>
    <w:p w14:paraId="2AA843D5" w14:textId="7DD96B09" w:rsidR="001B1092" w:rsidRPr="00017495" w:rsidRDefault="001B1092" w:rsidP="00C03701">
      <w:pPr>
        <w:pStyle w:val="ListParagraph"/>
        <w:ind w:left="0"/>
        <w:rPr>
          <w:iCs/>
        </w:rPr>
      </w:pPr>
      <w:r w:rsidRPr="00017495">
        <w:rPr>
          <w:iCs/>
        </w:rPr>
        <w:t xml:space="preserve">In addition to implementing the funded project consistent with the agency-approved project proposal and budget, agencies selected for funding must comply with applicable grant terms and conditions and other legal requirements, including, but not limited to, </w:t>
      </w:r>
      <w:r w:rsidR="002C15FE" w:rsidRPr="00017495">
        <w:rPr>
          <w:iCs/>
        </w:rPr>
        <w:t>ICJIA</w:t>
      </w:r>
      <w:r w:rsidRPr="00017495">
        <w:rPr>
          <w:iCs/>
        </w:rPr>
        <w:t xml:space="preserve"> Financial Guide and Policy and Procedure Manual, the Office of Management and Budget Grants Accountability and Transparency Act, and U.S. Department of Justice regulations which will be included in the award documents, incorporated into the award by reference, or are otherwise applicable to the award. </w:t>
      </w:r>
    </w:p>
    <w:p w14:paraId="143F0764" w14:textId="77777777" w:rsidR="001B1092" w:rsidRPr="00017495" w:rsidRDefault="001B1092" w:rsidP="00C03701">
      <w:pPr>
        <w:tabs>
          <w:tab w:val="left" w:pos="720"/>
        </w:tabs>
        <w:ind w:left="0"/>
      </w:pPr>
    </w:p>
    <w:p w14:paraId="510B45F8" w14:textId="5FF984A9" w:rsidR="001B1092" w:rsidRPr="00017495" w:rsidRDefault="001B1092" w:rsidP="00881076">
      <w:pPr>
        <w:tabs>
          <w:tab w:val="left" w:pos="720"/>
        </w:tabs>
        <w:ind w:left="0"/>
      </w:pPr>
      <w:r w:rsidRPr="00017495">
        <w:t>Additional programmatic and administrative special conditions may be required.</w:t>
      </w:r>
    </w:p>
    <w:p w14:paraId="6E611B80" w14:textId="5E6800AF" w:rsidR="0038685E" w:rsidRPr="00017495" w:rsidRDefault="001B1092" w:rsidP="00C03701">
      <w:pPr>
        <w:ind w:left="0"/>
      </w:pPr>
      <w:r w:rsidRPr="00C03701">
        <w:rPr>
          <w:vanish/>
        </w:rPr>
        <w:t>Code of Federal Regulations / Title 2 - Grants and Agreements / Vol. 1 / 2014-01-01194</w:t>
      </w:r>
    </w:p>
    <w:p w14:paraId="56BD7053" w14:textId="77777777" w:rsidR="00E60526" w:rsidRPr="00C03701" w:rsidRDefault="001B1092" w:rsidP="00C03701">
      <w:pPr>
        <w:ind w:left="0"/>
        <w:rPr>
          <w:b/>
          <w:i/>
        </w:rPr>
      </w:pPr>
      <w:r w:rsidRPr="00C03701">
        <w:rPr>
          <w:b/>
          <w:i/>
        </w:rPr>
        <w:t>Reporting</w:t>
      </w:r>
      <w:r w:rsidR="00C433C4" w:rsidRPr="00C03701">
        <w:rPr>
          <w:b/>
          <w:i/>
        </w:rPr>
        <w:t xml:space="preserve"> </w:t>
      </w:r>
    </w:p>
    <w:p w14:paraId="184EA98D" w14:textId="77777777" w:rsidR="0038685E" w:rsidRDefault="0038685E" w:rsidP="00725744">
      <w:pPr>
        <w:pStyle w:val="ListParagraph"/>
        <w:ind w:left="0"/>
        <w:rPr>
          <w:iCs/>
        </w:rPr>
      </w:pPr>
    </w:p>
    <w:p w14:paraId="3C8AFFD6" w14:textId="29E0CC46" w:rsidR="001B1092" w:rsidRDefault="001B1092" w:rsidP="00725744">
      <w:pPr>
        <w:pStyle w:val="ListParagraph"/>
        <w:ind w:left="0"/>
        <w:rPr>
          <w:iCs/>
        </w:rPr>
      </w:pPr>
      <w:r w:rsidRPr="00017495">
        <w:rPr>
          <w:iCs/>
        </w:rPr>
        <w:t xml:space="preserve">Recipients must submit </w:t>
      </w:r>
      <w:r w:rsidR="009458A1">
        <w:rPr>
          <w:iCs/>
        </w:rPr>
        <w:t>periodic fiscal reports</w:t>
      </w:r>
      <w:r w:rsidRPr="00017495">
        <w:rPr>
          <w:iCs/>
        </w:rPr>
        <w:t>, quarterly progress reports, final financial and progress reports, and, if applicable, an annual audit report in accordance with the CFR Part 200 Uniform Requirements</w:t>
      </w:r>
      <w:r w:rsidR="00FB2E22">
        <w:rPr>
          <w:iCs/>
        </w:rPr>
        <w:t xml:space="preserve"> and GATA</w:t>
      </w:r>
      <w:r w:rsidRPr="00017495">
        <w:rPr>
          <w:iCs/>
        </w:rPr>
        <w:t>. Future awards and fund drawdowns may be withheld if reports are delinquent.</w:t>
      </w:r>
    </w:p>
    <w:p w14:paraId="470785E4" w14:textId="2B724137" w:rsidR="007C0022" w:rsidRDefault="007C0022" w:rsidP="00725744">
      <w:pPr>
        <w:pStyle w:val="ListParagraph"/>
        <w:ind w:left="0"/>
        <w:rPr>
          <w:iCs/>
        </w:rPr>
      </w:pPr>
    </w:p>
    <w:p w14:paraId="593CADC6" w14:textId="483C8756" w:rsidR="007C0022" w:rsidRPr="00017495" w:rsidRDefault="007C0022" w:rsidP="00725744">
      <w:pPr>
        <w:pStyle w:val="ListParagraph"/>
        <w:ind w:left="0"/>
        <w:rPr>
          <w:iCs/>
        </w:rPr>
      </w:pPr>
      <w:r w:rsidRPr="007C0022">
        <w:rPr>
          <w:iCs/>
        </w:rPr>
        <w:t xml:space="preserve">In addition to required reports, each award recipient upon implementation must also provide data that measure the results of the work done under the award. To demonstrate program progress and success, ICJIA requires award recipient, post award, to provide performance data as part of </w:t>
      </w:r>
      <w:r w:rsidRPr="007C0022">
        <w:rPr>
          <w:iCs/>
        </w:rPr>
        <w:lastRenderedPageBreak/>
        <w:t>regular progress reporting. Successful applicants will be required to submit ARI’s performance measurement page via Qualtrics and secure site.</w:t>
      </w:r>
    </w:p>
    <w:p w14:paraId="3B858CDC" w14:textId="77777777" w:rsidR="00AE6E36" w:rsidRPr="00017495" w:rsidRDefault="00AE6E36">
      <w:pPr>
        <w:pStyle w:val="ListParagraph"/>
        <w:ind w:left="0"/>
        <w:rPr>
          <w:iCs/>
        </w:rPr>
      </w:pPr>
    </w:p>
    <w:p w14:paraId="71684FDA" w14:textId="56EF1908" w:rsidR="001B1092" w:rsidRPr="00017495" w:rsidRDefault="00AC2A95" w:rsidP="00C03701">
      <w:pPr>
        <w:ind w:left="0"/>
        <w:rPr>
          <w:b/>
          <w:sz w:val="28"/>
        </w:rPr>
      </w:pPr>
      <w:r>
        <w:rPr>
          <w:b/>
          <w:sz w:val="28"/>
        </w:rPr>
        <w:t>J</w:t>
      </w:r>
      <w:r w:rsidR="001B1092" w:rsidRPr="00017495">
        <w:rPr>
          <w:b/>
          <w:sz w:val="28"/>
        </w:rPr>
        <w:t xml:space="preserve">. State </w:t>
      </w:r>
      <w:r w:rsidR="00021A3F" w:rsidRPr="00017495">
        <w:rPr>
          <w:b/>
          <w:sz w:val="28"/>
        </w:rPr>
        <w:t>Awarding A</w:t>
      </w:r>
      <w:r w:rsidR="001B1092" w:rsidRPr="00017495">
        <w:rPr>
          <w:b/>
          <w:sz w:val="28"/>
        </w:rPr>
        <w:t xml:space="preserve">gency </w:t>
      </w:r>
      <w:r w:rsidR="00021A3F" w:rsidRPr="00017495">
        <w:rPr>
          <w:b/>
          <w:sz w:val="28"/>
        </w:rPr>
        <w:t>C</w:t>
      </w:r>
      <w:r w:rsidR="001B1092" w:rsidRPr="00017495">
        <w:rPr>
          <w:b/>
          <w:sz w:val="28"/>
        </w:rPr>
        <w:t>ontact(s)</w:t>
      </w:r>
    </w:p>
    <w:p w14:paraId="49CC5E19" w14:textId="77777777" w:rsidR="00E60526" w:rsidRPr="00017495" w:rsidRDefault="00E60526" w:rsidP="00881076">
      <w:pPr>
        <w:ind w:left="0"/>
      </w:pPr>
    </w:p>
    <w:p w14:paraId="4042C152" w14:textId="77777777" w:rsidR="001B1092" w:rsidRPr="00017495" w:rsidRDefault="001B1092" w:rsidP="00881076">
      <w:pPr>
        <w:ind w:left="0"/>
      </w:pPr>
      <w:r w:rsidRPr="00017495">
        <w:t>For questions and technical assistance regarding application submission, contact:</w:t>
      </w:r>
    </w:p>
    <w:p w14:paraId="5BFF3144" w14:textId="77777777" w:rsidR="00AE6E36" w:rsidRPr="00017495" w:rsidRDefault="00AE6E36" w:rsidP="00881076">
      <w:pPr>
        <w:ind w:left="0"/>
        <w:rPr>
          <w:color w:val="FF0000"/>
        </w:rPr>
      </w:pPr>
    </w:p>
    <w:p w14:paraId="6811ECAB" w14:textId="2DA0317B" w:rsidR="00AE6E36" w:rsidRPr="00017495" w:rsidRDefault="00AE6E36" w:rsidP="00881076">
      <w:pPr>
        <w:ind w:left="0"/>
        <w:rPr>
          <w:color w:val="auto"/>
        </w:rPr>
      </w:pPr>
      <w:r w:rsidRPr="00017495">
        <w:rPr>
          <w:color w:val="auto"/>
        </w:rPr>
        <w:t>Adriana P</w:t>
      </w:r>
      <w:r w:rsidR="00AC2A95">
        <w:t>é</w:t>
      </w:r>
      <w:r w:rsidRPr="00017495">
        <w:rPr>
          <w:color w:val="auto"/>
        </w:rPr>
        <w:t>rez, Program Manager</w:t>
      </w:r>
    </w:p>
    <w:p w14:paraId="12B15CB3" w14:textId="77777777" w:rsidR="001B1092" w:rsidRPr="00017495" w:rsidRDefault="00AE6E36" w:rsidP="00881076">
      <w:pPr>
        <w:ind w:left="0"/>
        <w:rPr>
          <w:color w:val="auto"/>
        </w:rPr>
      </w:pPr>
      <w:r w:rsidRPr="00017495">
        <w:rPr>
          <w:color w:val="auto"/>
        </w:rPr>
        <w:t>Adult Redeploy Illinois</w:t>
      </w:r>
    </w:p>
    <w:p w14:paraId="393E0D2E" w14:textId="77777777" w:rsidR="001B1092" w:rsidRPr="00017495" w:rsidRDefault="001B1092" w:rsidP="00881076">
      <w:pPr>
        <w:ind w:left="0"/>
      </w:pPr>
      <w:r w:rsidRPr="00017495">
        <w:t>Illinois Criminal Justice Information Authority</w:t>
      </w:r>
    </w:p>
    <w:p w14:paraId="1C8C627F" w14:textId="77777777" w:rsidR="001B1092" w:rsidRPr="00017495" w:rsidRDefault="00903F62" w:rsidP="00881076">
      <w:pPr>
        <w:ind w:left="0"/>
      </w:pPr>
      <w:hyperlink r:id="rId27" w:history="1">
        <w:r w:rsidR="00AE6E36" w:rsidRPr="00017495">
          <w:rPr>
            <w:rStyle w:val="Hyperlink"/>
          </w:rPr>
          <w:t>Adriana.Perez@Illinois.gov</w:t>
        </w:r>
      </w:hyperlink>
      <w:r w:rsidR="00AE6E36" w:rsidRPr="00017495">
        <w:t xml:space="preserve"> </w:t>
      </w:r>
      <w:hyperlink r:id="rId28" w:history="1"/>
    </w:p>
    <w:p w14:paraId="50AB723C" w14:textId="77777777" w:rsidR="001B1092" w:rsidRPr="00017495" w:rsidRDefault="001B1092">
      <w:pPr>
        <w:ind w:left="0"/>
        <w:rPr>
          <w:b/>
        </w:rPr>
      </w:pPr>
    </w:p>
    <w:p w14:paraId="5C4A484E" w14:textId="3FBCEBE1" w:rsidR="001B1092" w:rsidRPr="00017495" w:rsidRDefault="00AC2A95">
      <w:pPr>
        <w:ind w:left="0"/>
        <w:rPr>
          <w:b/>
          <w:sz w:val="28"/>
        </w:rPr>
      </w:pPr>
      <w:r>
        <w:rPr>
          <w:b/>
          <w:sz w:val="28"/>
        </w:rPr>
        <w:t>K.</w:t>
      </w:r>
      <w:r w:rsidR="001B1092" w:rsidRPr="00017495">
        <w:rPr>
          <w:b/>
          <w:sz w:val="28"/>
        </w:rPr>
        <w:t xml:space="preserve"> Other Information</w:t>
      </w:r>
    </w:p>
    <w:p w14:paraId="28C4B061" w14:textId="77777777" w:rsidR="00E60526" w:rsidRPr="00017495" w:rsidRDefault="00E60526" w:rsidP="00725744">
      <w:pPr>
        <w:pStyle w:val="ListParagraph"/>
        <w:ind w:left="0"/>
      </w:pPr>
    </w:p>
    <w:p w14:paraId="1CAF3D20" w14:textId="131737BE" w:rsidR="00E90ECE" w:rsidRPr="00017495" w:rsidRDefault="006E750D" w:rsidP="00725744">
      <w:pPr>
        <w:pStyle w:val="ListParagraph"/>
        <w:ind w:left="0"/>
      </w:pPr>
      <w:r>
        <w:t>T</w:t>
      </w:r>
      <w:r w:rsidR="001B1092" w:rsidRPr="00017495">
        <w:t>he State of Illinois</w:t>
      </w:r>
      <w:r>
        <w:t xml:space="preserve">, </w:t>
      </w:r>
      <w:r w:rsidR="000D3A8C" w:rsidRPr="00017495">
        <w:t>ICJIA</w:t>
      </w:r>
      <w:r w:rsidR="000D3A8C">
        <w:t xml:space="preserve">, </w:t>
      </w:r>
      <w:r w:rsidR="000D3A8C" w:rsidRPr="00017495">
        <w:t>and</w:t>
      </w:r>
      <w:r>
        <w:t xml:space="preserve"> ARI </w:t>
      </w:r>
      <w:r w:rsidR="0057739E">
        <w:t xml:space="preserve">are </w:t>
      </w:r>
      <w:r>
        <w:t xml:space="preserve">not </w:t>
      </w:r>
      <w:r w:rsidR="001B1092" w:rsidRPr="00017495">
        <w:t xml:space="preserve">obligated to make any award </w:t>
      </w:r>
      <w:r w:rsidR="00211CE7">
        <w:t>from</w:t>
      </w:r>
      <w:r w:rsidR="001B1092" w:rsidRPr="00017495">
        <w:t xml:space="preserve"> this announcement. </w:t>
      </w:r>
      <w:r w:rsidR="0057739E">
        <w:t xml:space="preserve">The </w:t>
      </w:r>
      <w:r w:rsidR="002C15FE" w:rsidRPr="00017495">
        <w:t>ICJIA</w:t>
      </w:r>
      <w:r w:rsidR="001B1092" w:rsidRPr="00017495">
        <w:t xml:space="preserve"> Executive Director has sole authority to bind the state government to the expenditure of funds through the execution of </w:t>
      </w:r>
      <w:r>
        <w:t xml:space="preserve">an </w:t>
      </w:r>
      <w:r w:rsidR="001B1092" w:rsidRPr="00017495">
        <w:t>interagency grant agreement</w:t>
      </w:r>
      <w:r w:rsidR="00AE6E36" w:rsidRPr="00017495">
        <w:t xml:space="preserve">. </w:t>
      </w:r>
    </w:p>
    <w:p w14:paraId="0A4B1B68" w14:textId="7E672524" w:rsidR="00B36DBF" w:rsidRPr="00017495" w:rsidRDefault="00B36DBF">
      <w:r w:rsidRPr="00017495">
        <w:br w:type="page"/>
      </w:r>
    </w:p>
    <w:p w14:paraId="06EA117D" w14:textId="11835717" w:rsidR="00105D85" w:rsidRDefault="00105D85" w:rsidP="00725744">
      <w:pPr>
        <w:pStyle w:val="ListParagraph"/>
        <w:ind w:left="0"/>
        <w:jc w:val="center"/>
      </w:pPr>
      <w:r>
        <w:lastRenderedPageBreak/>
        <w:t>APPENDIX A</w:t>
      </w:r>
    </w:p>
    <w:p w14:paraId="76B0C03B" w14:textId="77777777" w:rsidR="00105D85" w:rsidRDefault="00105D85" w:rsidP="00725744">
      <w:pPr>
        <w:pStyle w:val="ListParagraph"/>
        <w:ind w:left="0"/>
        <w:jc w:val="center"/>
      </w:pPr>
    </w:p>
    <w:p w14:paraId="3C25452D" w14:textId="69D1B2D9" w:rsidR="00AA389E" w:rsidRDefault="00511AA4" w:rsidP="00725744">
      <w:pPr>
        <w:pStyle w:val="ListParagraph"/>
        <w:ind w:left="0"/>
        <w:jc w:val="center"/>
      </w:pPr>
      <w:r w:rsidRPr="00511AA4">
        <w:rPr>
          <w:noProof/>
        </w:rPr>
        <w:drawing>
          <wp:inline distT="0" distB="0" distL="0" distR="0" wp14:anchorId="211D4431" wp14:editId="18E58B08">
            <wp:extent cx="4162425" cy="68104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65785" cy="6815913"/>
                    </a:xfrm>
                    <a:prstGeom prst="rect">
                      <a:avLst/>
                    </a:prstGeom>
                    <a:noFill/>
                    <a:ln>
                      <a:noFill/>
                    </a:ln>
                  </pic:spPr>
                </pic:pic>
              </a:graphicData>
            </a:graphic>
          </wp:inline>
        </w:drawing>
      </w:r>
    </w:p>
    <w:p w14:paraId="124124C0" w14:textId="77777777" w:rsidR="00AA389E" w:rsidRDefault="00AA389E" w:rsidP="00725744">
      <w:pPr>
        <w:pStyle w:val="ListParagraph"/>
        <w:ind w:left="0"/>
        <w:jc w:val="center"/>
      </w:pPr>
    </w:p>
    <w:p w14:paraId="5608D767" w14:textId="7CDBAB22" w:rsidR="00B36DBF" w:rsidRDefault="00B36DBF" w:rsidP="00725744">
      <w:pPr>
        <w:pStyle w:val="ListParagraph"/>
        <w:ind w:left="0"/>
        <w:jc w:val="center"/>
      </w:pPr>
      <w:r w:rsidRPr="00017495">
        <w:lastRenderedPageBreak/>
        <w:t xml:space="preserve">APPENDIX </w:t>
      </w:r>
      <w:r w:rsidR="00105D85">
        <w:t>B</w:t>
      </w:r>
    </w:p>
    <w:p w14:paraId="1B84011B" w14:textId="77777777" w:rsidR="002E4112" w:rsidRDefault="002E4112" w:rsidP="00725744">
      <w:pPr>
        <w:ind w:left="0"/>
        <w:jc w:val="center"/>
        <w:rPr>
          <w:b/>
        </w:rPr>
      </w:pPr>
    </w:p>
    <w:p w14:paraId="4134095B" w14:textId="4E2A59FA" w:rsidR="002E4112" w:rsidRPr="00F2334A" w:rsidRDefault="0038685E" w:rsidP="00F2334A">
      <w:pPr>
        <w:pStyle w:val="Default"/>
        <w:adjustRightInd/>
        <w:jc w:val="center"/>
        <w:rPr>
          <w:rFonts w:ascii="Times New Roman" w:hAnsi="Times New Roman" w:cs="Times New Roman"/>
          <w:b/>
        </w:rPr>
      </w:pPr>
      <w:r>
        <w:rPr>
          <w:rFonts w:ascii="Times New Roman" w:hAnsi="Times New Roman" w:cs="Times New Roman"/>
          <w:b/>
        </w:rPr>
        <w:t xml:space="preserve">ARI </w:t>
      </w:r>
      <w:r w:rsidR="002E4112">
        <w:rPr>
          <w:rFonts w:ascii="Times New Roman" w:hAnsi="Times New Roman" w:cs="Times New Roman"/>
          <w:b/>
        </w:rPr>
        <w:t xml:space="preserve">Performance </w:t>
      </w:r>
      <w:r w:rsidR="00F87F3A">
        <w:rPr>
          <w:rFonts w:ascii="Times New Roman" w:hAnsi="Times New Roman" w:cs="Times New Roman"/>
          <w:b/>
        </w:rPr>
        <w:t>Standards</w:t>
      </w:r>
    </w:p>
    <w:p w14:paraId="0457C02E" w14:textId="77777777" w:rsidR="002E4112" w:rsidRDefault="002E4112" w:rsidP="002E4112">
      <w:pPr>
        <w:pStyle w:val="Default"/>
        <w:adjustRightInd/>
        <w:jc w:val="center"/>
      </w:pPr>
    </w:p>
    <w:tbl>
      <w:tblPr>
        <w:tblStyle w:val="TableGrid"/>
        <w:tblW w:w="9990" w:type="dxa"/>
        <w:jc w:val="center"/>
        <w:tblLook w:val="04A0" w:firstRow="1" w:lastRow="0" w:firstColumn="1" w:lastColumn="0" w:noHBand="0" w:noVBand="1"/>
      </w:tblPr>
      <w:tblGrid>
        <w:gridCol w:w="5063"/>
        <w:gridCol w:w="4927"/>
      </w:tblGrid>
      <w:tr w:rsidR="002E4112" w:rsidRPr="00035832" w14:paraId="4816806E" w14:textId="77777777" w:rsidTr="00B352E8">
        <w:trPr>
          <w:jc w:val="center"/>
        </w:trPr>
        <w:tc>
          <w:tcPr>
            <w:tcW w:w="5063" w:type="dxa"/>
          </w:tcPr>
          <w:p w14:paraId="35744934" w14:textId="77777777" w:rsidR="002E4112" w:rsidRPr="00035832" w:rsidRDefault="002E4112" w:rsidP="00B352E8">
            <w:pPr>
              <w:pStyle w:val="Default"/>
              <w:adjustRightInd/>
              <w:jc w:val="center"/>
              <w:rPr>
                <w:rFonts w:ascii="Times New Roman" w:hAnsi="Times New Roman"/>
                <w:b/>
              </w:rPr>
            </w:pPr>
            <w:r w:rsidRPr="00035832">
              <w:rPr>
                <w:rFonts w:ascii="Times New Roman" w:hAnsi="Times New Roman"/>
                <w:b/>
              </w:rPr>
              <w:t xml:space="preserve">Contractual </w:t>
            </w:r>
            <w:r>
              <w:rPr>
                <w:rFonts w:ascii="Times New Roman" w:hAnsi="Times New Roman"/>
                <w:b/>
              </w:rPr>
              <w:t>P</w:t>
            </w:r>
            <w:r w:rsidRPr="00035832">
              <w:rPr>
                <w:rFonts w:ascii="Times New Roman" w:hAnsi="Times New Roman"/>
                <w:b/>
              </w:rPr>
              <w:t xml:space="preserve">erformance </w:t>
            </w:r>
            <w:r>
              <w:rPr>
                <w:rFonts w:ascii="Times New Roman" w:hAnsi="Times New Roman"/>
                <w:b/>
              </w:rPr>
              <w:t>M</w:t>
            </w:r>
            <w:r w:rsidRPr="00035832">
              <w:rPr>
                <w:rFonts w:ascii="Times New Roman" w:hAnsi="Times New Roman"/>
                <w:b/>
              </w:rPr>
              <w:t>easure</w:t>
            </w:r>
          </w:p>
        </w:tc>
        <w:tc>
          <w:tcPr>
            <w:tcW w:w="4927" w:type="dxa"/>
          </w:tcPr>
          <w:p w14:paraId="492914F9" w14:textId="77777777" w:rsidR="002E4112" w:rsidRPr="00245153" w:rsidRDefault="002E4112" w:rsidP="00B352E8">
            <w:pPr>
              <w:pStyle w:val="Default"/>
              <w:adjustRightInd/>
              <w:jc w:val="center"/>
              <w:rPr>
                <w:rFonts w:ascii="Times New Roman" w:hAnsi="Times New Roman"/>
                <w:b/>
              </w:rPr>
            </w:pPr>
            <w:r w:rsidRPr="00245153">
              <w:rPr>
                <w:rFonts w:ascii="Times New Roman" w:hAnsi="Times New Roman"/>
                <w:b/>
              </w:rPr>
              <w:t>Initiator for Corrective Action</w:t>
            </w:r>
          </w:p>
        </w:tc>
      </w:tr>
      <w:tr w:rsidR="002E4112" w:rsidRPr="002E4112" w14:paraId="5490860A" w14:textId="77777777" w:rsidTr="00B352E8">
        <w:trPr>
          <w:jc w:val="center"/>
        </w:trPr>
        <w:tc>
          <w:tcPr>
            <w:tcW w:w="5063" w:type="dxa"/>
          </w:tcPr>
          <w:p w14:paraId="2249CBFD" w14:textId="77777777" w:rsidR="002E4112" w:rsidRPr="00F2334A" w:rsidRDefault="002E4112" w:rsidP="00B352E8">
            <w:pPr>
              <w:pStyle w:val="Default"/>
              <w:adjustRightInd/>
              <w:rPr>
                <w:rFonts w:ascii="Times New Roman" w:hAnsi="Times New Roman"/>
                <w:sz w:val="20"/>
                <w:szCs w:val="20"/>
              </w:rPr>
            </w:pPr>
            <w:r w:rsidRPr="00F2334A">
              <w:rPr>
                <w:rFonts w:ascii="Times New Roman" w:hAnsi="Times New Roman"/>
                <w:sz w:val="20"/>
                <w:szCs w:val="20"/>
              </w:rPr>
              <w:t>Reduction goal:</w:t>
            </w:r>
          </w:p>
          <w:p w14:paraId="04235C17" w14:textId="77777777" w:rsidR="002E4112" w:rsidRPr="00F2334A" w:rsidRDefault="002E4112" w:rsidP="002E4112">
            <w:pPr>
              <w:pStyle w:val="Default"/>
              <w:numPr>
                <w:ilvl w:val="0"/>
                <w:numId w:val="50"/>
              </w:numPr>
              <w:adjustRightInd/>
              <w:rPr>
                <w:sz w:val="20"/>
                <w:szCs w:val="20"/>
              </w:rPr>
            </w:pPr>
            <w:r w:rsidRPr="00F2334A">
              <w:rPr>
                <w:rFonts w:ascii="Times New Roman" w:hAnsi="Times New Roman"/>
                <w:sz w:val="20"/>
                <w:szCs w:val="20"/>
              </w:rPr>
              <w:t xml:space="preserve">25% reduction of ARI-eligible IDOC commitments from the identified target population for the grant period.  </w:t>
            </w:r>
          </w:p>
        </w:tc>
        <w:tc>
          <w:tcPr>
            <w:tcW w:w="4927" w:type="dxa"/>
          </w:tcPr>
          <w:p w14:paraId="5B909427" w14:textId="77777777" w:rsidR="002E4112" w:rsidRPr="00F2334A" w:rsidRDefault="002E4112" w:rsidP="002E4112">
            <w:pPr>
              <w:pStyle w:val="Default"/>
              <w:numPr>
                <w:ilvl w:val="0"/>
                <w:numId w:val="47"/>
              </w:numPr>
              <w:adjustRightInd/>
              <w:rPr>
                <w:rFonts w:ascii="Times New Roman" w:hAnsi="Times New Roman"/>
                <w:sz w:val="20"/>
                <w:szCs w:val="20"/>
              </w:rPr>
            </w:pPr>
            <w:r w:rsidRPr="00F2334A">
              <w:rPr>
                <w:rFonts w:ascii="Times New Roman" w:hAnsi="Times New Roman"/>
                <w:sz w:val="20"/>
                <w:szCs w:val="20"/>
              </w:rPr>
              <w:t>Failure to meet or risk of failure to meet the contractual 25% reduction goal for the grant period.</w:t>
            </w:r>
          </w:p>
        </w:tc>
      </w:tr>
      <w:tr w:rsidR="002E4112" w:rsidRPr="002E4112" w14:paraId="1835AF5E" w14:textId="77777777" w:rsidTr="00B352E8">
        <w:trPr>
          <w:jc w:val="center"/>
        </w:trPr>
        <w:tc>
          <w:tcPr>
            <w:tcW w:w="5063" w:type="dxa"/>
          </w:tcPr>
          <w:p w14:paraId="477320B9" w14:textId="77777777" w:rsidR="002E4112" w:rsidRPr="00F2334A" w:rsidRDefault="002E4112" w:rsidP="00B352E8">
            <w:pPr>
              <w:pStyle w:val="Default"/>
              <w:adjustRightInd/>
              <w:rPr>
                <w:rFonts w:ascii="Times New Roman" w:hAnsi="Times New Roman"/>
                <w:sz w:val="20"/>
                <w:szCs w:val="20"/>
              </w:rPr>
            </w:pPr>
            <w:r w:rsidRPr="00F2334A">
              <w:rPr>
                <w:rFonts w:ascii="Times New Roman" w:hAnsi="Times New Roman"/>
                <w:sz w:val="20"/>
                <w:szCs w:val="20"/>
              </w:rPr>
              <w:t>Assessment tools:</w:t>
            </w:r>
          </w:p>
          <w:p w14:paraId="26BB330C" w14:textId="77777777" w:rsidR="002E4112" w:rsidRPr="00F2334A" w:rsidRDefault="002E4112" w:rsidP="002E4112">
            <w:pPr>
              <w:pStyle w:val="Default"/>
              <w:numPr>
                <w:ilvl w:val="0"/>
                <w:numId w:val="47"/>
              </w:numPr>
              <w:adjustRightInd/>
              <w:rPr>
                <w:rFonts w:ascii="Times New Roman" w:hAnsi="Times New Roman"/>
                <w:sz w:val="20"/>
                <w:szCs w:val="20"/>
              </w:rPr>
            </w:pPr>
            <w:r w:rsidRPr="00F2334A">
              <w:rPr>
                <w:rFonts w:ascii="Times New Roman" w:hAnsi="Times New Roman"/>
                <w:sz w:val="20"/>
                <w:szCs w:val="20"/>
              </w:rPr>
              <w:t>Risk and needs assessment information utilized for enrollment determinations.</w:t>
            </w:r>
          </w:p>
        </w:tc>
        <w:tc>
          <w:tcPr>
            <w:tcW w:w="4927" w:type="dxa"/>
          </w:tcPr>
          <w:p w14:paraId="76A22507" w14:textId="77777777" w:rsidR="002E4112" w:rsidRPr="00F2334A" w:rsidRDefault="002E4112" w:rsidP="002E4112">
            <w:pPr>
              <w:pStyle w:val="Default"/>
              <w:numPr>
                <w:ilvl w:val="0"/>
                <w:numId w:val="47"/>
              </w:numPr>
              <w:adjustRightInd/>
              <w:rPr>
                <w:rFonts w:ascii="Times New Roman" w:hAnsi="Times New Roman"/>
                <w:sz w:val="20"/>
                <w:szCs w:val="20"/>
              </w:rPr>
            </w:pPr>
            <w:r w:rsidRPr="00F2334A">
              <w:rPr>
                <w:rFonts w:ascii="Times New Roman" w:hAnsi="Times New Roman"/>
                <w:sz w:val="20"/>
                <w:szCs w:val="20"/>
              </w:rPr>
              <w:t>No assessment tool in use.</w:t>
            </w:r>
          </w:p>
          <w:p w14:paraId="45737D4C" w14:textId="77777777" w:rsidR="002E4112" w:rsidRPr="00F2334A" w:rsidRDefault="002E4112" w:rsidP="002E4112">
            <w:pPr>
              <w:pStyle w:val="Default"/>
              <w:numPr>
                <w:ilvl w:val="0"/>
                <w:numId w:val="47"/>
              </w:numPr>
              <w:adjustRightInd/>
              <w:rPr>
                <w:rFonts w:ascii="Times New Roman" w:hAnsi="Times New Roman"/>
                <w:sz w:val="20"/>
                <w:szCs w:val="20"/>
              </w:rPr>
            </w:pPr>
            <w:r w:rsidRPr="00F2334A">
              <w:rPr>
                <w:rFonts w:ascii="Times New Roman" w:hAnsi="Times New Roman"/>
                <w:sz w:val="20"/>
                <w:szCs w:val="20"/>
              </w:rPr>
              <w:t>Assessment tool not used consistently.</w:t>
            </w:r>
          </w:p>
          <w:p w14:paraId="7A9A9AE8" w14:textId="77777777" w:rsidR="002E4112" w:rsidRPr="00F2334A" w:rsidRDefault="002E4112" w:rsidP="002E4112">
            <w:pPr>
              <w:pStyle w:val="Default"/>
              <w:numPr>
                <w:ilvl w:val="0"/>
                <w:numId w:val="47"/>
              </w:numPr>
              <w:adjustRightInd/>
              <w:rPr>
                <w:rFonts w:ascii="Times New Roman" w:hAnsi="Times New Roman"/>
                <w:sz w:val="20"/>
                <w:szCs w:val="20"/>
              </w:rPr>
            </w:pPr>
            <w:r w:rsidRPr="00F2334A">
              <w:rPr>
                <w:rFonts w:ascii="Times New Roman" w:hAnsi="Times New Roman"/>
                <w:sz w:val="20"/>
                <w:szCs w:val="20"/>
              </w:rPr>
              <w:t>Assessment tool failing to guide enrollment or programming determinations.</w:t>
            </w:r>
          </w:p>
        </w:tc>
      </w:tr>
      <w:tr w:rsidR="002E4112" w:rsidRPr="002E4112" w14:paraId="28D73DE2" w14:textId="77777777" w:rsidTr="00B352E8">
        <w:trPr>
          <w:jc w:val="center"/>
        </w:trPr>
        <w:tc>
          <w:tcPr>
            <w:tcW w:w="5063" w:type="dxa"/>
          </w:tcPr>
          <w:p w14:paraId="5E957101" w14:textId="77777777" w:rsidR="002E4112" w:rsidRPr="00F2334A" w:rsidRDefault="002E4112" w:rsidP="00B352E8">
            <w:pPr>
              <w:pStyle w:val="Default"/>
              <w:adjustRightInd/>
              <w:rPr>
                <w:rFonts w:ascii="Times New Roman" w:hAnsi="Times New Roman"/>
                <w:sz w:val="20"/>
                <w:szCs w:val="20"/>
              </w:rPr>
            </w:pPr>
            <w:r w:rsidRPr="00F2334A">
              <w:rPr>
                <w:rFonts w:ascii="Times New Roman" w:hAnsi="Times New Roman"/>
                <w:sz w:val="20"/>
                <w:szCs w:val="20"/>
              </w:rPr>
              <w:t>Evidence-based practices (EBP):</w:t>
            </w:r>
          </w:p>
          <w:p w14:paraId="261D149F" w14:textId="77777777" w:rsidR="002E4112" w:rsidRPr="00F2334A" w:rsidRDefault="002E4112" w:rsidP="002E4112">
            <w:pPr>
              <w:pStyle w:val="Default"/>
              <w:numPr>
                <w:ilvl w:val="0"/>
                <w:numId w:val="51"/>
              </w:numPr>
              <w:adjustRightInd/>
              <w:rPr>
                <w:rFonts w:ascii="Times New Roman" w:hAnsi="Times New Roman"/>
                <w:sz w:val="20"/>
                <w:szCs w:val="20"/>
              </w:rPr>
            </w:pPr>
            <w:r w:rsidRPr="00F2334A">
              <w:rPr>
                <w:rFonts w:ascii="Times New Roman" w:hAnsi="Times New Roman"/>
                <w:sz w:val="20"/>
                <w:szCs w:val="20"/>
              </w:rPr>
              <w:t>Fidelity of EBP is documented.</w:t>
            </w:r>
          </w:p>
          <w:p w14:paraId="44ACE8C2" w14:textId="77777777" w:rsidR="002E4112" w:rsidRPr="00F2334A" w:rsidRDefault="002E4112" w:rsidP="002E4112">
            <w:pPr>
              <w:pStyle w:val="Default"/>
              <w:numPr>
                <w:ilvl w:val="0"/>
                <w:numId w:val="51"/>
              </w:numPr>
              <w:adjustRightInd/>
              <w:rPr>
                <w:rFonts w:ascii="Times New Roman" w:hAnsi="Times New Roman"/>
                <w:sz w:val="20"/>
                <w:szCs w:val="20"/>
              </w:rPr>
            </w:pPr>
            <w:r w:rsidRPr="00F2334A">
              <w:rPr>
                <w:rFonts w:ascii="Times New Roman" w:hAnsi="Times New Roman"/>
                <w:sz w:val="20"/>
                <w:szCs w:val="20"/>
              </w:rPr>
              <w:t>100% of enrolled are receiving EBP.</w:t>
            </w:r>
          </w:p>
          <w:p w14:paraId="386A41E1" w14:textId="77777777" w:rsidR="002E4112" w:rsidRPr="00F2334A" w:rsidRDefault="002E4112" w:rsidP="002E4112">
            <w:pPr>
              <w:pStyle w:val="Default"/>
              <w:numPr>
                <w:ilvl w:val="0"/>
                <w:numId w:val="51"/>
              </w:numPr>
              <w:adjustRightInd/>
              <w:rPr>
                <w:rFonts w:ascii="Times New Roman" w:hAnsi="Times New Roman"/>
                <w:sz w:val="20"/>
                <w:szCs w:val="20"/>
              </w:rPr>
            </w:pPr>
            <w:r w:rsidRPr="00F2334A">
              <w:rPr>
                <w:rFonts w:ascii="Times New Roman" w:hAnsi="Times New Roman"/>
                <w:sz w:val="20"/>
                <w:szCs w:val="20"/>
              </w:rPr>
              <w:t>% high-risk/need engaged in appropriate programming (e.g. substance abuse treatment, mental health treatment, cognitive-behavioral therapy).</w:t>
            </w:r>
          </w:p>
        </w:tc>
        <w:tc>
          <w:tcPr>
            <w:tcW w:w="4927" w:type="dxa"/>
          </w:tcPr>
          <w:p w14:paraId="5F6E21B0" w14:textId="77777777" w:rsidR="002E4112" w:rsidRPr="00F2334A" w:rsidRDefault="002E4112" w:rsidP="002E4112">
            <w:pPr>
              <w:pStyle w:val="Default"/>
              <w:numPr>
                <w:ilvl w:val="0"/>
                <w:numId w:val="46"/>
              </w:numPr>
              <w:adjustRightInd/>
              <w:rPr>
                <w:rFonts w:ascii="Times New Roman" w:hAnsi="Times New Roman"/>
                <w:sz w:val="20"/>
                <w:szCs w:val="20"/>
              </w:rPr>
            </w:pPr>
            <w:r w:rsidRPr="00F2334A">
              <w:rPr>
                <w:rFonts w:ascii="Times New Roman" w:hAnsi="Times New Roman"/>
                <w:sz w:val="20"/>
                <w:szCs w:val="20"/>
              </w:rPr>
              <w:t>Failure to use EBP (e.g., failure to assess and use information for enrollment and programming, failure to utilize risk-need-responsivity model, failure to use evidence-based programs or curricula).</w:t>
            </w:r>
          </w:p>
          <w:p w14:paraId="1F0F4BAF" w14:textId="77777777" w:rsidR="002E4112" w:rsidRPr="00F2334A" w:rsidRDefault="002E4112" w:rsidP="002E4112">
            <w:pPr>
              <w:pStyle w:val="Default"/>
              <w:numPr>
                <w:ilvl w:val="0"/>
                <w:numId w:val="46"/>
              </w:numPr>
              <w:adjustRightInd/>
              <w:rPr>
                <w:rFonts w:ascii="Times New Roman" w:hAnsi="Times New Roman"/>
                <w:sz w:val="20"/>
                <w:szCs w:val="20"/>
              </w:rPr>
            </w:pPr>
            <w:r w:rsidRPr="00F2334A">
              <w:rPr>
                <w:rFonts w:ascii="Times New Roman" w:hAnsi="Times New Roman"/>
                <w:sz w:val="20"/>
                <w:szCs w:val="20"/>
              </w:rPr>
              <w:t>Failure to address technical assistance recommendations in a timely manner.</w:t>
            </w:r>
          </w:p>
        </w:tc>
      </w:tr>
      <w:tr w:rsidR="002E4112" w:rsidRPr="002E4112" w14:paraId="402C5280" w14:textId="77777777" w:rsidTr="00B352E8">
        <w:trPr>
          <w:trHeight w:val="2060"/>
          <w:jc w:val="center"/>
        </w:trPr>
        <w:tc>
          <w:tcPr>
            <w:tcW w:w="5063" w:type="dxa"/>
          </w:tcPr>
          <w:p w14:paraId="646DE19D" w14:textId="77777777" w:rsidR="002E4112" w:rsidRPr="00F2334A" w:rsidRDefault="002E4112" w:rsidP="00B352E8">
            <w:pPr>
              <w:pStyle w:val="Default"/>
              <w:adjustRightInd/>
              <w:rPr>
                <w:rFonts w:ascii="Times New Roman" w:hAnsi="Times New Roman"/>
                <w:sz w:val="20"/>
                <w:szCs w:val="20"/>
              </w:rPr>
            </w:pPr>
            <w:r w:rsidRPr="00F2334A">
              <w:rPr>
                <w:rFonts w:ascii="Times New Roman" w:hAnsi="Times New Roman"/>
                <w:sz w:val="20"/>
                <w:szCs w:val="20"/>
              </w:rPr>
              <w:t>Appropriate ARI target/service population:</w:t>
            </w:r>
          </w:p>
          <w:p w14:paraId="66752E0F" w14:textId="77777777" w:rsidR="002E4112" w:rsidRPr="00F2334A" w:rsidRDefault="002E4112" w:rsidP="002E4112">
            <w:pPr>
              <w:pStyle w:val="Default"/>
              <w:numPr>
                <w:ilvl w:val="0"/>
                <w:numId w:val="52"/>
              </w:numPr>
              <w:adjustRightInd/>
              <w:rPr>
                <w:rFonts w:ascii="Times New Roman" w:hAnsi="Times New Roman"/>
                <w:sz w:val="20"/>
                <w:szCs w:val="20"/>
              </w:rPr>
            </w:pPr>
            <w:r w:rsidRPr="00F2334A">
              <w:rPr>
                <w:rFonts w:ascii="Times New Roman" w:hAnsi="Times New Roman"/>
                <w:sz w:val="20"/>
                <w:szCs w:val="20"/>
              </w:rPr>
              <w:t>Participants are:</w:t>
            </w:r>
          </w:p>
          <w:p w14:paraId="3874D01D" w14:textId="58B9CDEA" w:rsidR="002E4112" w:rsidRPr="00F2334A" w:rsidRDefault="00596505" w:rsidP="002E4112">
            <w:pPr>
              <w:pStyle w:val="Default"/>
              <w:numPr>
                <w:ilvl w:val="1"/>
                <w:numId w:val="52"/>
              </w:numPr>
              <w:adjustRightInd/>
              <w:rPr>
                <w:rFonts w:ascii="Times New Roman" w:hAnsi="Times New Roman"/>
                <w:sz w:val="20"/>
                <w:szCs w:val="20"/>
              </w:rPr>
            </w:pPr>
            <w:r>
              <w:rPr>
                <w:rFonts w:ascii="Times New Roman" w:hAnsi="Times New Roman"/>
                <w:sz w:val="20"/>
                <w:szCs w:val="20"/>
              </w:rPr>
              <w:t>Probation-eligible</w:t>
            </w:r>
          </w:p>
          <w:p w14:paraId="7460BA21" w14:textId="77777777" w:rsidR="002E4112" w:rsidRPr="00F2334A" w:rsidRDefault="002E4112" w:rsidP="002E4112">
            <w:pPr>
              <w:pStyle w:val="Default"/>
              <w:numPr>
                <w:ilvl w:val="1"/>
                <w:numId w:val="52"/>
              </w:numPr>
              <w:adjustRightInd/>
              <w:rPr>
                <w:rFonts w:ascii="Times New Roman" w:hAnsi="Times New Roman"/>
                <w:sz w:val="20"/>
                <w:szCs w:val="20"/>
              </w:rPr>
            </w:pPr>
            <w:r w:rsidRPr="00F2334A">
              <w:rPr>
                <w:rFonts w:ascii="Times New Roman" w:hAnsi="Times New Roman"/>
                <w:sz w:val="20"/>
                <w:szCs w:val="20"/>
              </w:rPr>
              <w:t xml:space="preserve">Prison-bound </w:t>
            </w:r>
          </w:p>
          <w:p w14:paraId="3DD17CC6" w14:textId="77777777" w:rsidR="002E4112" w:rsidRPr="00F2334A" w:rsidRDefault="002E4112" w:rsidP="002E4112">
            <w:pPr>
              <w:pStyle w:val="Default"/>
              <w:numPr>
                <w:ilvl w:val="1"/>
                <w:numId w:val="52"/>
              </w:numPr>
              <w:adjustRightInd/>
              <w:rPr>
                <w:rFonts w:ascii="Times New Roman" w:hAnsi="Times New Roman"/>
                <w:sz w:val="20"/>
                <w:szCs w:val="20"/>
              </w:rPr>
            </w:pPr>
            <w:r w:rsidRPr="00F2334A">
              <w:rPr>
                <w:rFonts w:ascii="Times New Roman" w:hAnsi="Times New Roman"/>
                <w:sz w:val="20"/>
                <w:szCs w:val="20"/>
              </w:rPr>
              <w:t xml:space="preserve">Moderate to high risk </w:t>
            </w:r>
          </w:p>
          <w:p w14:paraId="28AC8A47" w14:textId="77777777" w:rsidR="002E4112" w:rsidRPr="00F2334A" w:rsidRDefault="002E4112" w:rsidP="002E4112">
            <w:pPr>
              <w:pStyle w:val="Default"/>
              <w:numPr>
                <w:ilvl w:val="0"/>
                <w:numId w:val="52"/>
              </w:numPr>
              <w:adjustRightInd/>
              <w:rPr>
                <w:rFonts w:ascii="Times New Roman" w:hAnsi="Times New Roman"/>
                <w:sz w:val="20"/>
                <w:szCs w:val="20"/>
              </w:rPr>
            </w:pPr>
            <w:r w:rsidRPr="00F2334A">
              <w:rPr>
                <w:rFonts w:ascii="Times New Roman" w:hAnsi="Times New Roman"/>
                <w:sz w:val="20"/>
                <w:szCs w:val="20"/>
              </w:rPr>
              <w:t>Local programs enroll appropriate target population as planned to match intervention (e.g., high-risk/low-need or high-risk/high-need).</w:t>
            </w:r>
          </w:p>
        </w:tc>
        <w:tc>
          <w:tcPr>
            <w:tcW w:w="4927" w:type="dxa"/>
          </w:tcPr>
          <w:p w14:paraId="7E41912B" w14:textId="77777777" w:rsidR="002E4112" w:rsidRPr="00F2334A" w:rsidRDefault="002E4112" w:rsidP="002E4112">
            <w:pPr>
              <w:pStyle w:val="Default"/>
              <w:numPr>
                <w:ilvl w:val="0"/>
                <w:numId w:val="48"/>
              </w:numPr>
              <w:adjustRightInd/>
              <w:rPr>
                <w:rFonts w:ascii="Times New Roman" w:hAnsi="Times New Roman"/>
                <w:sz w:val="20"/>
                <w:szCs w:val="20"/>
              </w:rPr>
            </w:pPr>
            <w:r w:rsidRPr="00F2334A">
              <w:rPr>
                <w:rFonts w:ascii="Times New Roman" w:hAnsi="Times New Roman"/>
                <w:sz w:val="20"/>
                <w:szCs w:val="20"/>
              </w:rPr>
              <w:t>Analysis of program’s unsuccessful exits shows a lower than pre-determined threshold of program revocations committed to IDOC.</w:t>
            </w:r>
          </w:p>
          <w:p w14:paraId="346B147C" w14:textId="72FDA347" w:rsidR="002E4112" w:rsidRPr="00F2334A" w:rsidRDefault="002E4112" w:rsidP="002E4112">
            <w:pPr>
              <w:pStyle w:val="Default"/>
              <w:numPr>
                <w:ilvl w:val="0"/>
                <w:numId w:val="48"/>
              </w:numPr>
              <w:adjustRightInd/>
              <w:rPr>
                <w:rFonts w:ascii="Times New Roman" w:hAnsi="Times New Roman"/>
                <w:sz w:val="20"/>
                <w:szCs w:val="20"/>
              </w:rPr>
            </w:pPr>
            <w:r w:rsidRPr="00F2334A">
              <w:rPr>
                <w:rFonts w:ascii="Times New Roman" w:hAnsi="Times New Roman"/>
                <w:sz w:val="20"/>
                <w:szCs w:val="20"/>
              </w:rPr>
              <w:t xml:space="preserve">Analysis of </w:t>
            </w:r>
            <w:r>
              <w:rPr>
                <w:rFonts w:ascii="Times New Roman" w:hAnsi="Times New Roman"/>
                <w:sz w:val="20"/>
                <w:szCs w:val="20"/>
              </w:rPr>
              <w:t>risk assessment</w:t>
            </w:r>
            <w:r w:rsidRPr="00F2334A">
              <w:rPr>
                <w:rFonts w:ascii="Times New Roman" w:hAnsi="Times New Roman"/>
                <w:sz w:val="20"/>
                <w:szCs w:val="20"/>
              </w:rPr>
              <w:t xml:space="preserve"> scores shows program is not serving moderate to high-risk individuals according to pre-determined threshold.</w:t>
            </w:r>
          </w:p>
          <w:p w14:paraId="0AFDA840" w14:textId="04A3F731" w:rsidR="002E4112" w:rsidRPr="00F2334A" w:rsidRDefault="002E4112">
            <w:pPr>
              <w:pStyle w:val="Default"/>
              <w:numPr>
                <w:ilvl w:val="0"/>
                <w:numId w:val="48"/>
              </w:numPr>
              <w:adjustRightInd/>
              <w:rPr>
                <w:rFonts w:ascii="Times New Roman" w:hAnsi="Times New Roman"/>
                <w:sz w:val="20"/>
                <w:szCs w:val="20"/>
              </w:rPr>
            </w:pPr>
            <w:r w:rsidRPr="00F2334A">
              <w:rPr>
                <w:rFonts w:ascii="Times New Roman" w:hAnsi="Times New Roman"/>
                <w:sz w:val="20"/>
                <w:szCs w:val="20"/>
              </w:rPr>
              <w:t xml:space="preserve">Analysis shows program is excessively overriding </w:t>
            </w:r>
            <w:r>
              <w:rPr>
                <w:rFonts w:ascii="Times New Roman" w:hAnsi="Times New Roman"/>
                <w:sz w:val="20"/>
                <w:szCs w:val="20"/>
              </w:rPr>
              <w:t>risk assessment</w:t>
            </w:r>
            <w:r w:rsidRPr="00F2334A">
              <w:rPr>
                <w:rFonts w:ascii="Times New Roman" w:hAnsi="Times New Roman"/>
                <w:sz w:val="20"/>
                <w:szCs w:val="20"/>
              </w:rPr>
              <w:t xml:space="preserve"> scores.</w:t>
            </w:r>
          </w:p>
        </w:tc>
      </w:tr>
      <w:tr w:rsidR="002E4112" w:rsidRPr="002E4112" w14:paraId="350BAF63" w14:textId="77777777" w:rsidTr="00B352E8">
        <w:trPr>
          <w:jc w:val="center"/>
        </w:trPr>
        <w:tc>
          <w:tcPr>
            <w:tcW w:w="5063" w:type="dxa"/>
          </w:tcPr>
          <w:p w14:paraId="7F65DBA0" w14:textId="77777777" w:rsidR="002E4112" w:rsidRPr="00F2334A" w:rsidRDefault="002E4112" w:rsidP="00B352E8">
            <w:pPr>
              <w:pStyle w:val="Default"/>
              <w:adjustRightInd/>
              <w:rPr>
                <w:rFonts w:ascii="Times New Roman" w:hAnsi="Times New Roman"/>
                <w:sz w:val="20"/>
                <w:szCs w:val="20"/>
              </w:rPr>
            </w:pPr>
            <w:r w:rsidRPr="00F2334A">
              <w:rPr>
                <w:rFonts w:ascii="Times New Roman" w:hAnsi="Times New Roman"/>
                <w:sz w:val="20"/>
                <w:szCs w:val="20"/>
              </w:rPr>
              <w:t>Provision of program data as required in contracts:</w:t>
            </w:r>
          </w:p>
          <w:p w14:paraId="01A7953F" w14:textId="77777777" w:rsidR="002E4112" w:rsidRPr="00F2334A" w:rsidRDefault="002E4112" w:rsidP="002E4112">
            <w:pPr>
              <w:pStyle w:val="Default"/>
              <w:numPr>
                <w:ilvl w:val="0"/>
                <w:numId w:val="53"/>
              </w:numPr>
              <w:adjustRightInd/>
              <w:rPr>
                <w:rFonts w:ascii="Times New Roman" w:hAnsi="Times New Roman"/>
                <w:sz w:val="20"/>
                <w:szCs w:val="20"/>
              </w:rPr>
            </w:pPr>
            <w:r w:rsidRPr="00F2334A">
              <w:rPr>
                <w:rFonts w:ascii="Times New Roman" w:hAnsi="Times New Roman"/>
                <w:sz w:val="20"/>
                <w:szCs w:val="20"/>
              </w:rPr>
              <w:t>Demographics</w:t>
            </w:r>
          </w:p>
          <w:p w14:paraId="151538C7" w14:textId="77777777" w:rsidR="002E4112" w:rsidRPr="00F2334A" w:rsidRDefault="002E4112" w:rsidP="002E4112">
            <w:pPr>
              <w:pStyle w:val="Default"/>
              <w:numPr>
                <w:ilvl w:val="0"/>
                <w:numId w:val="53"/>
              </w:numPr>
              <w:adjustRightInd/>
              <w:rPr>
                <w:rFonts w:ascii="Times New Roman" w:hAnsi="Times New Roman"/>
                <w:sz w:val="20"/>
                <w:szCs w:val="20"/>
              </w:rPr>
            </w:pPr>
            <w:r w:rsidRPr="00F2334A">
              <w:rPr>
                <w:rFonts w:ascii="Times New Roman" w:hAnsi="Times New Roman"/>
                <w:sz w:val="20"/>
                <w:szCs w:val="20"/>
              </w:rPr>
              <w:t>Case information</w:t>
            </w:r>
          </w:p>
          <w:p w14:paraId="6A2FE82F" w14:textId="77777777" w:rsidR="002E4112" w:rsidRPr="00F2334A" w:rsidRDefault="002E4112" w:rsidP="002E4112">
            <w:pPr>
              <w:pStyle w:val="Default"/>
              <w:numPr>
                <w:ilvl w:val="0"/>
                <w:numId w:val="53"/>
              </w:numPr>
              <w:adjustRightInd/>
              <w:rPr>
                <w:rFonts w:ascii="Times New Roman" w:hAnsi="Times New Roman"/>
                <w:sz w:val="20"/>
                <w:szCs w:val="20"/>
              </w:rPr>
            </w:pPr>
            <w:r w:rsidRPr="00F2334A">
              <w:rPr>
                <w:rFonts w:ascii="Times New Roman" w:hAnsi="Times New Roman"/>
                <w:sz w:val="20"/>
                <w:szCs w:val="20"/>
              </w:rPr>
              <w:t xml:space="preserve">ARI information </w:t>
            </w:r>
          </w:p>
          <w:p w14:paraId="4AEB39C3" w14:textId="77777777" w:rsidR="002E4112" w:rsidRPr="00F2334A" w:rsidRDefault="002E4112" w:rsidP="002E4112">
            <w:pPr>
              <w:pStyle w:val="Default"/>
              <w:numPr>
                <w:ilvl w:val="1"/>
                <w:numId w:val="53"/>
              </w:numPr>
              <w:adjustRightInd/>
              <w:rPr>
                <w:rFonts w:ascii="Times New Roman" w:hAnsi="Times New Roman"/>
                <w:sz w:val="20"/>
                <w:szCs w:val="20"/>
              </w:rPr>
            </w:pPr>
            <w:r w:rsidRPr="00F2334A">
              <w:rPr>
                <w:rFonts w:ascii="Times New Roman" w:hAnsi="Times New Roman"/>
                <w:sz w:val="20"/>
                <w:szCs w:val="20"/>
              </w:rPr>
              <w:t>Probation/ARI conditions</w:t>
            </w:r>
          </w:p>
          <w:p w14:paraId="3D13D88A" w14:textId="77777777" w:rsidR="002E4112" w:rsidRPr="00F2334A" w:rsidRDefault="002E4112" w:rsidP="002E4112">
            <w:pPr>
              <w:pStyle w:val="Default"/>
              <w:numPr>
                <w:ilvl w:val="1"/>
                <w:numId w:val="53"/>
              </w:numPr>
              <w:adjustRightInd/>
              <w:rPr>
                <w:rFonts w:ascii="Times New Roman" w:hAnsi="Times New Roman"/>
                <w:sz w:val="20"/>
                <w:szCs w:val="20"/>
              </w:rPr>
            </w:pPr>
            <w:r w:rsidRPr="00F2334A">
              <w:rPr>
                <w:rFonts w:ascii="Times New Roman" w:hAnsi="Times New Roman"/>
                <w:sz w:val="20"/>
                <w:szCs w:val="20"/>
              </w:rPr>
              <w:t>Drug testing results</w:t>
            </w:r>
          </w:p>
          <w:p w14:paraId="3D66F2C9" w14:textId="77777777" w:rsidR="002E4112" w:rsidRPr="00F2334A" w:rsidRDefault="002E4112" w:rsidP="002E4112">
            <w:pPr>
              <w:pStyle w:val="Default"/>
              <w:numPr>
                <w:ilvl w:val="1"/>
                <w:numId w:val="53"/>
              </w:numPr>
              <w:adjustRightInd/>
              <w:rPr>
                <w:rFonts w:ascii="Times New Roman" w:hAnsi="Times New Roman"/>
                <w:sz w:val="20"/>
                <w:szCs w:val="20"/>
              </w:rPr>
            </w:pPr>
            <w:r w:rsidRPr="00F2334A">
              <w:rPr>
                <w:rFonts w:ascii="Times New Roman" w:hAnsi="Times New Roman"/>
                <w:sz w:val="20"/>
                <w:szCs w:val="20"/>
              </w:rPr>
              <w:t>Diagnosis information</w:t>
            </w:r>
          </w:p>
          <w:p w14:paraId="317CDBE4" w14:textId="77777777" w:rsidR="002E4112" w:rsidRPr="00F2334A" w:rsidRDefault="002E4112" w:rsidP="002E4112">
            <w:pPr>
              <w:pStyle w:val="Default"/>
              <w:numPr>
                <w:ilvl w:val="1"/>
                <w:numId w:val="53"/>
              </w:numPr>
              <w:adjustRightInd/>
              <w:rPr>
                <w:rFonts w:ascii="Times New Roman" w:hAnsi="Times New Roman"/>
                <w:sz w:val="20"/>
                <w:szCs w:val="20"/>
              </w:rPr>
            </w:pPr>
            <w:r w:rsidRPr="00F2334A">
              <w:rPr>
                <w:rFonts w:ascii="Times New Roman" w:hAnsi="Times New Roman"/>
                <w:sz w:val="20"/>
                <w:szCs w:val="20"/>
              </w:rPr>
              <w:t>Treatment providers</w:t>
            </w:r>
          </w:p>
          <w:p w14:paraId="1E0C8FA0" w14:textId="77777777" w:rsidR="002E4112" w:rsidRPr="00F2334A" w:rsidRDefault="002E4112" w:rsidP="002E4112">
            <w:pPr>
              <w:pStyle w:val="Default"/>
              <w:numPr>
                <w:ilvl w:val="1"/>
                <w:numId w:val="53"/>
              </w:numPr>
              <w:adjustRightInd/>
              <w:rPr>
                <w:rFonts w:ascii="Times New Roman" w:hAnsi="Times New Roman"/>
                <w:sz w:val="20"/>
                <w:szCs w:val="20"/>
              </w:rPr>
            </w:pPr>
            <w:r w:rsidRPr="00F2334A">
              <w:rPr>
                <w:rFonts w:ascii="Times New Roman" w:hAnsi="Times New Roman"/>
                <w:sz w:val="20"/>
                <w:szCs w:val="20"/>
              </w:rPr>
              <w:t>Status/termination of conditions</w:t>
            </w:r>
          </w:p>
          <w:p w14:paraId="62EE9FC6" w14:textId="77777777" w:rsidR="002E4112" w:rsidRPr="00F2334A" w:rsidRDefault="002E4112" w:rsidP="002E4112">
            <w:pPr>
              <w:pStyle w:val="Default"/>
              <w:numPr>
                <w:ilvl w:val="1"/>
                <w:numId w:val="53"/>
              </w:numPr>
              <w:adjustRightInd/>
              <w:rPr>
                <w:rFonts w:ascii="Times New Roman" w:hAnsi="Times New Roman"/>
                <w:sz w:val="20"/>
                <w:szCs w:val="20"/>
              </w:rPr>
            </w:pPr>
            <w:r w:rsidRPr="00F2334A">
              <w:rPr>
                <w:rFonts w:ascii="Times New Roman" w:hAnsi="Times New Roman"/>
                <w:sz w:val="20"/>
                <w:szCs w:val="20"/>
              </w:rPr>
              <w:t>Changes in employment/education levels</w:t>
            </w:r>
          </w:p>
          <w:p w14:paraId="77746709" w14:textId="77777777" w:rsidR="002E4112" w:rsidRPr="00F2334A" w:rsidRDefault="002E4112" w:rsidP="002E4112">
            <w:pPr>
              <w:pStyle w:val="Default"/>
              <w:numPr>
                <w:ilvl w:val="1"/>
                <w:numId w:val="53"/>
              </w:numPr>
              <w:adjustRightInd/>
              <w:rPr>
                <w:rFonts w:ascii="Times New Roman" w:hAnsi="Times New Roman"/>
                <w:sz w:val="20"/>
                <w:szCs w:val="20"/>
              </w:rPr>
            </w:pPr>
            <w:r w:rsidRPr="00F2334A">
              <w:rPr>
                <w:rFonts w:ascii="Times New Roman" w:hAnsi="Times New Roman"/>
                <w:sz w:val="20"/>
                <w:szCs w:val="20"/>
              </w:rPr>
              <w:t>Technical violations, arrests, convictions</w:t>
            </w:r>
          </w:p>
          <w:p w14:paraId="47A1CAFE" w14:textId="3F58910D" w:rsidR="002E4112" w:rsidRPr="00F2334A" w:rsidRDefault="002E4112" w:rsidP="002E4112">
            <w:pPr>
              <w:pStyle w:val="Default"/>
              <w:numPr>
                <w:ilvl w:val="1"/>
                <w:numId w:val="53"/>
              </w:numPr>
              <w:adjustRightInd/>
              <w:rPr>
                <w:rFonts w:ascii="Times New Roman" w:hAnsi="Times New Roman"/>
                <w:sz w:val="20"/>
                <w:szCs w:val="20"/>
              </w:rPr>
            </w:pPr>
            <w:r>
              <w:rPr>
                <w:rFonts w:ascii="Times New Roman" w:hAnsi="Times New Roman"/>
                <w:sz w:val="20"/>
                <w:szCs w:val="20"/>
              </w:rPr>
              <w:t>Risk</w:t>
            </w:r>
            <w:r w:rsidRPr="00F2334A">
              <w:rPr>
                <w:rFonts w:ascii="Times New Roman" w:hAnsi="Times New Roman"/>
                <w:sz w:val="20"/>
                <w:szCs w:val="20"/>
              </w:rPr>
              <w:t>/other assessment information</w:t>
            </w:r>
          </w:p>
          <w:p w14:paraId="24F53C88" w14:textId="77777777" w:rsidR="002E4112" w:rsidRPr="00F2334A" w:rsidRDefault="002E4112" w:rsidP="002E4112">
            <w:pPr>
              <w:pStyle w:val="Default"/>
              <w:numPr>
                <w:ilvl w:val="1"/>
                <w:numId w:val="53"/>
              </w:numPr>
              <w:adjustRightInd/>
              <w:rPr>
                <w:rFonts w:ascii="Times New Roman" w:hAnsi="Times New Roman"/>
                <w:sz w:val="20"/>
                <w:szCs w:val="20"/>
              </w:rPr>
            </w:pPr>
            <w:r w:rsidRPr="00F2334A">
              <w:rPr>
                <w:rFonts w:ascii="Times New Roman" w:hAnsi="Times New Roman"/>
                <w:sz w:val="20"/>
                <w:szCs w:val="20"/>
              </w:rPr>
              <w:t>Client contacts</w:t>
            </w:r>
          </w:p>
        </w:tc>
        <w:tc>
          <w:tcPr>
            <w:tcW w:w="4927" w:type="dxa"/>
          </w:tcPr>
          <w:p w14:paraId="6F1FE11B" w14:textId="77777777" w:rsidR="002E4112" w:rsidRPr="00F2334A" w:rsidRDefault="002E4112" w:rsidP="002E4112">
            <w:pPr>
              <w:pStyle w:val="Default"/>
              <w:numPr>
                <w:ilvl w:val="0"/>
                <w:numId w:val="46"/>
              </w:numPr>
              <w:adjustRightInd/>
              <w:rPr>
                <w:rFonts w:ascii="Times New Roman" w:hAnsi="Times New Roman"/>
                <w:sz w:val="20"/>
                <w:szCs w:val="20"/>
              </w:rPr>
            </w:pPr>
            <w:r w:rsidRPr="00F2334A">
              <w:rPr>
                <w:rFonts w:ascii="Times New Roman" w:hAnsi="Times New Roman"/>
                <w:sz w:val="20"/>
                <w:szCs w:val="20"/>
              </w:rPr>
              <w:t>Failure to provide requested data in the form/detail requested or in a timely manner.</w:t>
            </w:r>
          </w:p>
        </w:tc>
      </w:tr>
    </w:tbl>
    <w:p w14:paraId="416B7FDA" w14:textId="77777777" w:rsidR="002E4112" w:rsidRDefault="002E4112" w:rsidP="00F2334A">
      <w:pPr>
        <w:ind w:left="0"/>
        <w:rPr>
          <w:b/>
          <w:sz w:val="22"/>
          <w:szCs w:val="22"/>
        </w:rPr>
      </w:pPr>
    </w:p>
    <w:p w14:paraId="65AB007E" w14:textId="0303BCB8" w:rsidR="002E4112" w:rsidRPr="00F2334A" w:rsidRDefault="002E4112" w:rsidP="00F2334A">
      <w:pPr>
        <w:ind w:left="0"/>
        <w:rPr>
          <w:sz w:val="22"/>
          <w:szCs w:val="22"/>
        </w:rPr>
      </w:pPr>
      <w:r w:rsidRPr="00F2334A">
        <w:rPr>
          <w:b/>
          <w:sz w:val="22"/>
          <w:szCs w:val="22"/>
        </w:rPr>
        <w:t>Corrective action plan (CAP) remedies:</w:t>
      </w:r>
    </w:p>
    <w:p w14:paraId="6C3EC533" w14:textId="77777777" w:rsidR="002E4112" w:rsidRPr="00F2334A" w:rsidRDefault="002E4112" w:rsidP="002E4112">
      <w:pPr>
        <w:pStyle w:val="ListParagraph"/>
        <w:numPr>
          <w:ilvl w:val="0"/>
          <w:numId w:val="49"/>
        </w:numPr>
        <w:rPr>
          <w:sz w:val="22"/>
          <w:szCs w:val="22"/>
        </w:rPr>
      </w:pPr>
      <w:r w:rsidRPr="00F2334A">
        <w:rPr>
          <w:sz w:val="22"/>
          <w:szCs w:val="22"/>
        </w:rPr>
        <w:t>Training (use of assessment tools, evidence-based practices, data collection, group dynamics)</w:t>
      </w:r>
    </w:p>
    <w:p w14:paraId="3F203727" w14:textId="77777777" w:rsidR="002E4112" w:rsidRPr="00F2334A" w:rsidRDefault="002E4112" w:rsidP="002E4112">
      <w:pPr>
        <w:pStyle w:val="ListParagraph"/>
        <w:numPr>
          <w:ilvl w:val="0"/>
          <w:numId w:val="49"/>
        </w:numPr>
        <w:rPr>
          <w:sz w:val="22"/>
          <w:szCs w:val="22"/>
        </w:rPr>
      </w:pPr>
      <w:r w:rsidRPr="00F2334A">
        <w:rPr>
          <w:sz w:val="22"/>
          <w:szCs w:val="22"/>
        </w:rPr>
        <w:t>Technical assistance</w:t>
      </w:r>
    </w:p>
    <w:p w14:paraId="51F0B64C" w14:textId="77777777" w:rsidR="002E4112" w:rsidRPr="00F2334A" w:rsidRDefault="002E4112" w:rsidP="002E4112">
      <w:pPr>
        <w:pStyle w:val="ListParagraph"/>
        <w:numPr>
          <w:ilvl w:val="0"/>
          <w:numId w:val="49"/>
        </w:numPr>
        <w:rPr>
          <w:sz w:val="22"/>
          <w:szCs w:val="22"/>
        </w:rPr>
      </w:pPr>
      <w:r w:rsidRPr="00F2334A">
        <w:rPr>
          <w:sz w:val="22"/>
          <w:szCs w:val="22"/>
        </w:rPr>
        <w:t>Assessment of mitigating circumstances</w:t>
      </w:r>
    </w:p>
    <w:p w14:paraId="5C00DFF5" w14:textId="77777777" w:rsidR="002E4112" w:rsidRDefault="002E4112" w:rsidP="00F2334A">
      <w:pPr>
        <w:pStyle w:val="ListParagraph"/>
        <w:numPr>
          <w:ilvl w:val="0"/>
          <w:numId w:val="49"/>
        </w:numPr>
        <w:rPr>
          <w:sz w:val="22"/>
          <w:szCs w:val="22"/>
        </w:rPr>
      </w:pPr>
      <w:r w:rsidRPr="00F2334A">
        <w:rPr>
          <w:sz w:val="22"/>
          <w:szCs w:val="22"/>
        </w:rPr>
        <w:t xml:space="preserve">Sanctions </w:t>
      </w:r>
    </w:p>
    <w:p w14:paraId="48CFC219" w14:textId="6E8F920D" w:rsidR="00FD4591" w:rsidRDefault="002E4112" w:rsidP="00F2334A">
      <w:pPr>
        <w:pStyle w:val="ListParagraph"/>
        <w:numPr>
          <w:ilvl w:val="0"/>
          <w:numId w:val="49"/>
        </w:numPr>
        <w:rPr>
          <w:sz w:val="22"/>
          <w:szCs w:val="22"/>
        </w:rPr>
      </w:pPr>
      <w:r w:rsidRPr="00F2334A">
        <w:rPr>
          <w:sz w:val="22"/>
          <w:szCs w:val="22"/>
        </w:rPr>
        <w:t>Termination of contract</w:t>
      </w:r>
    </w:p>
    <w:p w14:paraId="2E3ED91A" w14:textId="75D157A2" w:rsidR="00C8263A" w:rsidRDefault="00C8263A" w:rsidP="00C8263A">
      <w:pPr>
        <w:pStyle w:val="ListParagraph"/>
        <w:jc w:val="center"/>
      </w:pPr>
      <w:r w:rsidRPr="00017495">
        <w:lastRenderedPageBreak/>
        <w:t xml:space="preserve">APPENDIX </w:t>
      </w:r>
      <w:r w:rsidR="00105D85">
        <w:t>C</w:t>
      </w:r>
    </w:p>
    <w:p w14:paraId="07074D19" w14:textId="05D17F9D" w:rsidR="00C8263A" w:rsidRDefault="00C8263A" w:rsidP="00C8263A">
      <w:pPr>
        <w:pStyle w:val="ListParagraph"/>
      </w:pPr>
    </w:p>
    <w:p w14:paraId="51195771" w14:textId="3A26E020" w:rsidR="00604C3F" w:rsidRPr="00604C3F" w:rsidRDefault="00604C3F" w:rsidP="00604C3F">
      <w:pPr>
        <w:pStyle w:val="ListParagraph"/>
        <w:jc w:val="center"/>
        <w:rPr>
          <w:b/>
        </w:rPr>
      </w:pPr>
      <w:r w:rsidRPr="00604C3F">
        <w:rPr>
          <w:b/>
        </w:rPr>
        <w:t>Implementation Schedule</w:t>
      </w:r>
    </w:p>
    <w:p w14:paraId="0070F549" w14:textId="77777777" w:rsidR="00604C3F" w:rsidRDefault="00604C3F" w:rsidP="00C8263A">
      <w:pPr>
        <w:pStyle w:val="ListParagraph"/>
      </w:pPr>
    </w:p>
    <w:tbl>
      <w:tblPr>
        <w:tblStyle w:val="TableGrid"/>
        <w:tblW w:w="0" w:type="auto"/>
        <w:tblLook w:val="04A0" w:firstRow="1" w:lastRow="0" w:firstColumn="1" w:lastColumn="0" w:noHBand="0" w:noVBand="1"/>
      </w:tblPr>
      <w:tblGrid>
        <w:gridCol w:w="4315"/>
        <w:gridCol w:w="2340"/>
        <w:gridCol w:w="2695"/>
      </w:tblGrid>
      <w:tr w:rsidR="00BB77FB" w:rsidRPr="008B7212" w14:paraId="2ABCE8AB" w14:textId="77777777" w:rsidTr="00DF64FC">
        <w:tc>
          <w:tcPr>
            <w:tcW w:w="4315" w:type="dxa"/>
            <w:shd w:val="clear" w:color="auto" w:fill="D9D9D9" w:themeFill="background1" w:themeFillShade="D9"/>
            <w:vAlign w:val="center"/>
          </w:tcPr>
          <w:p w14:paraId="257F7EB6" w14:textId="7B1BD1B7" w:rsidR="00BB77FB" w:rsidRPr="008B7212" w:rsidRDefault="00BB77FB" w:rsidP="00BB77FB">
            <w:pPr>
              <w:jc w:val="center"/>
              <w:rPr>
                <w:rFonts w:ascii="Times New Roman" w:hAnsi="Times New Roman" w:cs="Times New Roman"/>
                <w:b/>
                <w:sz w:val="24"/>
                <w:szCs w:val="24"/>
              </w:rPr>
            </w:pPr>
            <w:r w:rsidRPr="008B7212">
              <w:rPr>
                <w:rFonts w:ascii="Times New Roman" w:hAnsi="Times New Roman" w:cs="Times New Roman"/>
                <w:b/>
                <w:sz w:val="24"/>
                <w:szCs w:val="24"/>
              </w:rPr>
              <w:t>Task</w:t>
            </w:r>
          </w:p>
        </w:tc>
        <w:tc>
          <w:tcPr>
            <w:tcW w:w="2340" w:type="dxa"/>
            <w:shd w:val="clear" w:color="auto" w:fill="D9D9D9" w:themeFill="background1" w:themeFillShade="D9"/>
            <w:vAlign w:val="center"/>
          </w:tcPr>
          <w:p w14:paraId="272CD746" w14:textId="75496106" w:rsidR="00BB77FB" w:rsidRPr="008B7212" w:rsidRDefault="00BB77FB" w:rsidP="00BB77FB">
            <w:pPr>
              <w:jc w:val="center"/>
              <w:rPr>
                <w:rFonts w:ascii="Times New Roman" w:hAnsi="Times New Roman" w:cs="Times New Roman"/>
                <w:b/>
                <w:sz w:val="24"/>
                <w:szCs w:val="24"/>
              </w:rPr>
            </w:pPr>
            <w:r w:rsidRPr="008B7212">
              <w:rPr>
                <w:rFonts w:ascii="Times New Roman" w:hAnsi="Times New Roman" w:cs="Times New Roman"/>
                <w:b/>
                <w:sz w:val="24"/>
                <w:szCs w:val="24"/>
              </w:rPr>
              <w:t>Partner Responsible</w:t>
            </w:r>
          </w:p>
        </w:tc>
        <w:tc>
          <w:tcPr>
            <w:tcW w:w="2695" w:type="dxa"/>
            <w:shd w:val="clear" w:color="auto" w:fill="D9D9D9" w:themeFill="background1" w:themeFillShade="D9"/>
          </w:tcPr>
          <w:p w14:paraId="7E4B5305" w14:textId="1B1C13A6" w:rsidR="00BB77FB" w:rsidRPr="008B7212" w:rsidRDefault="00BB77FB" w:rsidP="00BB77FB">
            <w:pPr>
              <w:jc w:val="center"/>
              <w:rPr>
                <w:rFonts w:ascii="Times New Roman" w:hAnsi="Times New Roman" w:cs="Times New Roman"/>
                <w:b/>
                <w:sz w:val="24"/>
                <w:szCs w:val="24"/>
              </w:rPr>
            </w:pPr>
            <w:r w:rsidRPr="008B7212">
              <w:rPr>
                <w:rFonts w:ascii="Times New Roman" w:hAnsi="Times New Roman" w:cs="Times New Roman"/>
                <w:b/>
                <w:sz w:val="24"/>
                <w:szCs w:val="24"/>
              </w:rPr>
              <w:t>Date Task Completed</w:t>
            </w:r>
          </w:p>
        </w:tc>
      </w:tr>
      <w:tr w:rsidR="00BB77FB" w:rsidRPr="008B7212" w14:paraId="6ED31CEF" w14:textId="77777777" w:rsidTr="00DF64FC">
        <w:tc>
          <w:tcPr>
            <w:tcW w:w="4315" w:type="dxa"/>
          </w:tcPr>
          <w:p w14:paraId="31B617F2" w14:textId="1F2A9382" w:rsidR="00BB77FB" w:rsidRPr="008B7212" w:rsidRDefault="00BB77FB" w:rsidP="00BB77FB">
            <w:pPr>
              <w:keepNext/>
              <w:rPr>
                <w:rFonts w:ascii="Times New Roman" w:hAnsi="Times New Roman" w:cs="Times New Roman"/>
                <w:sz w:val="24"/>
                <w:szCs w:val="24"/>
              </w:rPr>
            </w:pPr>
            <w:r w:rsidRPr="008B7212">
              <w:rPr>
                <w:rFonts w:ascii="Times New Roman" w:eastAsia="Calibri" w:hAnsi="Times New Roman" w:cs="Times New Roman"/>
                <w:sz w:val="24"/>
                <w:szCs w:val="24"/>
              </w:rPr>
              <w:t xml:space="preserve">Convene regular MDT meetings </w:t>
            </w:r>
          </w:p>
        </w:tc>
        <w:tc>
          <w:tcPr>
            <w:tcW w:w="2340" w:type="dxa"/>
          </w:tcPr>
          <w:p w14:paraId="31C16E1D" w14:textId="3F69B1A7" w:rsidR="00BB77FB" w:rsidRPr="008B7212" w:rsidRDefault="00BB77FB" w:rsidP="00BB77FB">
            <w:pPr>
              <w:keepNext/>
              <w:rPr>
                <w:rFonts w:ascii="Times New Roman" w:hAnsi="Times New Roman" w:cs="Times New Roman"/>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c>
          <w:tcPr>
            <w:tcW w:w="2695" w:type="dxa"/>
          </w:tcPr>
          <w:p w14:paraId="64AA2826" w14:textId="54D11BD3" w:rsidR="00BB77FB" w:rsidRPr="008B7212" w:rsidRDefault="00BB77FB" w:rsidP="00BB77FB">
            <w:pPr>
              <w:keepNext/>
              <w:rPr>
                <w:rFonts w:ascii="Times New Roman" w:hAnsi="Times New Roman" w:cs="Times New Roman"/>
                <w:sz w:val="24"/>
                <w:szCs w:val="24"/>
              </w:rPr>
            </w:pPr>
            <w:r w:rsidRPr="008B7212">
              <w:rPr>
                <w:rFonts w:ascii="Times New Roman" w:hAnsi="Times New Roman" w:cs="Times New Roman"/>
                <w:sz w:val="24"/>
                <w:szCs w:val="24"/>
              </w:rPr>
              <w:t xml:space="preserve">Monthly </w:t>
            </w:r>
          </w:p>
        </w:tc>
      </w:tr>
      <w:tr w:rsidR="00BB77FB" w:rsidRPr="008B7212" w14:paraId="5923E117" w14:textId="77777777" w:rsidTr="00DF64FC">
        <w:tc>
          <w:tcPr>
            <w:tcW w:w="4315" w:type="dxa"/>
          </w:tcPr>
          <w:p w14:paraId="3409E294" w14:textId="799CBF5C" w:rsidR="00BB77FB" w:rsidRPr="008B7212" w:rsidRDefault="00BB77FB" w:rsidP="00BB77FB">
            <w:pPr>
              <w:keepNext/>
              <w:rPr>
                <w:rFonts w:ascii="Times New Roman" w:hAnsi="Times New Roman" w:cs="Times New Roman"/>
                <w:sz w:val="24"/>
                <w:szCs w:val="24"/>
              </w:rPr>
            </w:pPr>
            <w:r w:rsidRPr="008B7212">
              <w:rPr>
                <w:rFonts w:ascii="Times New Roman" w:eastAsia="Calibri" w:hAnsi="Times New Roman" w:cs="Times New Roman"/>
                <w:sz w:val="24"/>
                <w:szCs w:val="24"/>
              </w:rPr>
              <w:t>Analyze data on use of prison for probation-eligible offenders</w:t>
            </w:r>
          </w:p>
        </w:tc>
        <w:tc>
          <w:tcPr>
            <w:tcW w:w="2340" w:type="dxa"/>
          </w:tcPr>
          <w:p w14:paraId="7A461503" w14:textId="0D66189F" w:rsidR="00BB77FB" w:rsidRPr="008B7212" w:rsidRDefault="00BB77FB" w:rsidP="00BB77FB">
            <w:pPr>
              <w:keepNext/>
              <w:rPr>
                <w:rFonts w:ascii="Times New Roman" w:hAnsi="Times New Roman" w:cs="Times New Roman"/>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c>
          <w:tcPr>
            <w:tcW w:w="2695" w:type="dxa"/>
          </w:tcPr>
          <w:p w14:paraId="6DA11EB4" w14:textId="20CB4A54" w:rsidR="00BB77FB" w:rsidRPr="008B7212" w:rsidRDefault="00BB77FB" w:rsidP="00BB77FB">
            <w:pPr>
              <w:keepNext/>
              <w:rPr>
                <w:rFonts w:ascii="Times New Roman" w:hAnsi="Times New Roman" w:cs="Times New Roman"/>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r>
      <w:tr w:rsidR="00BB77FB" w:rsidRPr="008B7212" w14:paraId="5C71255F" w14:textId="77777777" w:rsidTr="00DF64FC">
        <w:tc>
          <w:tcPr>
            <w:tcW w:w="4315" w:type="dxa"/>
          </w:tcPr>
          <w:p w14:paraId="507F1961" w14:textId="31EF45B1" w:rsidR="00BB77FB" w:rsidRPr="008B7212" w:rsidRDefault="00BB77FB" w:rsidP="00BB77FB">
            <w:pPr>
              <w:keepNext/>
              <w:rPr>
                <w:rFonts w:ascii="Times New Roman" w:hAnsi="Times New Roman" w:cs="Times New Roman"/>
                <w:sz w:val="24"/>
                <w:szCs w:val="24"/>
              </w:rPr>
            </w:pPr>
            <w:r w:rsidRPr="008B7212">
              <w:rPr>
                <w:rFonts w:ascii="Times New Roman" w:eastAsia="Calibri" w:hAnsi="Times New Roman" w:cs="Times New Roman"/>
                <w:sz w:val="24"/>
                <w:szCs w:val="24"/>
              </w:rPr>
              <w:t>Assess current community capacity and identify gaps in services</w:t>
            </w:r>
          </w:p>
        </w:tc>
        <w:tc>
          <w:tcPr>
            <w:tcW w:w="2340" w:type="dxa"/>
          </w:tcPr>
          <w:p w14:paraId="36FD78E7" w14:textId="43517496" w:rsidR="00BB77FB" w:rsidRPr="008B7212" w:rsidRDefault="00BB77FB" w:rsidP="00BB77FB">
            <w:pPr>
              <w:keepNext/>
              <w:rPr>
                <w:rFonts w:ascii="Times New Roman" w:hAnsi="Times New Roman" w:cs="Times New Roman"/>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c>
          <w:tcPr>
            <w:tcW w:w="2695" w:type="dxa"/>
          </w:tcPr>
          <w:p w14:paraId="35140784" w14:textId="26F27DCE" w:rsidR="00BB77FB" w:rsidRPr="008B7212" w:rsidRDefault="00BB77FB" w:rsidP="00BB77FB">
            <w:pPr>
              <w:keepNext/>
              <w:rPr>
                <w:rFonts w:ascii="Times New Roman" w:hAnsi="Times New Roman" w:cs="Times New Roman"/>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r>
      <w:tr w:rsidR="00BB77FB" w:rsidRPr="008B7212" w14:paraId="187203A4" w14:textId="77777777" w:rsidTr="00DF64FC">
        <w:tc>
          <w:tcPr>
            <w:tcW w:w="4315" w:type="dxa"/>
          </w:tcPr>
          <w:p w14:paraId="7BB3A638" w14:textId="3FD0FD1C" w:rsidR="00BB77FB" w:rsidRPr="008B7212" w:rsidRDefault="00BB77FB" w:rsidP="00BB77FB">
            <w:pPr>
              <w:keepNext/>
              <w:rPr>
                <w:rFonts w:ascii="Times New Roman" w:hAnsi="Times New Roman" w:cs="Times New Roman"/>
                <w:sz w:val="24"/>
                <w:szCs w:val="24"/>
              </w:rPr>
            </w:pPr>
            <w:r w:rsidRPr="008B7212">
              <w:rPr>
                <w:rFonts w:ascii="Times New Roman" w:eastAsia="Calibri" w:hAnsi="Times New Roman" w:cs="Times New Roman"/>
                <w:sz w:val="24"/>
                <w:szCs w:val="24"/>
              </w:rPr>
              <w:t>Perform site visits to learn about other jurisdictions’ use of alternatives to incarceration</w:t>
            </w:r>
            <w:r w:rsidRPr="008B7212" w:rsidDel="00EB2CDD">
              <w:rPr>
                <w:rFonts w:ascii="Times New Roman" w:eastAsia="Calibri" w:hAnsi="Times New Roman" w:cs="Times New Roman"/>
                <w:sz w:val="24"/>
                <w:szCs w:val="24"/>
              </w:rPr>
              <w:t xml:space="preserve"> </w:t>
            </w:r>
          </w:p>
        </w:tc>
        <w:tc>
          <w:tcPr>
            <w:tcW w:w="2340" w:type="dxa"/>
          </w:tcPr>
          <w:p w14:paraId="35FCA416" w14:textId="4F8AFAA1" w:rsidR="00BB77FB" w:rsidRPr="008B7212" w:rsidRDefault="00BB77FB" w:rsidP="00BB77FB">
            <w:pPr>
              <w:keepNext/>
              <w:rPr>
                <w:rFonts w:ascii="Times New Roman" w:hAnsi="Times New Roman" w:cs="Times New Roman"/>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c>
          <w:tcPr>
            <w:tcW w:w="2695" w:type="dxa"/>
          </w:tcPr>
          <w:p w14:paraId="382FAFA4" w14:textId="21BDDC10" w:rsidR="00BB77FB" w:rsidRPr="008B7212" w:rsidRDefault="00BB77FB" w:rsidP="00BB77FB">
            <w:pPr>
              <w:keepNext/>
              <w:rPr>
                <w:rFonts w:ascii="Times New Roman" w:hAnsi="Times New Roman" w:cs="Times New Roman"/>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r>
      <w:tr w:rsidR="00BB77FB" w:rsidRPr="008B7212" w14:paraId="5B75DFEB" w14:textId="77777777" w:rsidTr="00DF64FC">
        <w:tc>
          <w:tcPr>
            <w:tcW w:w="4315" w:type="dxa"/>
          </w:tcPr>
          <w:p w14:paraId="690274FB" w14:textId="5459A3D2" w:rsidR="00BB77FB" w:rsidRPr="008B7212" w:rsidRDefault="00BB77FB" w:rsidP="00BB77FB">
            <w:pPr>
              <w:rPr>
                <w:rFonts w:ascii="Times New Roman" w:hAnsi="Times New Roman" w:cs="Times New Roman"/>
                <w:sz w:val="24"/>
                <w:szCs w:val="24"/>
              </w:rPr>
            </w:pPr>
            <w:r w:rsidRPr="008B7212">
              <w:rPr>
                <w:rFonts w:ascii="Times New Roman" w:eastAsia="Calibri" w:hAnsi="Times New Roman" w:cs="Times New Roman"/>
                <w:sz w:val="24"/>
                <w:szCs w:val="24"/>
              </w:rPr>
              <w:t>Attend ARI trainings and information-sharing events hosted by ICJIA</w:t>
            </w:r>
          </w:p>
        </w:tc>
        <w:tc>
          <w:tcPr>
            <w:tcW w:w="2340" w:type="dxa"/>
          </w:tcPr>
          <w:p w14:paraId="1E4EA930" w14:textId="0DEE96C5" w:rsidR="00BB77FB" w:rsidRPr="008B7212" w:rsidRDefault="00BB77FB" w:rsidP="00BB77FB">
            <w:pPr>
              <w:rPr>
                <w:rFonts w:ascii="Times New Roman" w:hAnsi="Times New Roman" w:cs="Times New Roman"/>
                <w:b/>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c>
          <w:tcPr>
            <w:tcW w:w="2695" w:type="dxa"/>
          </w:tcPr>
          <w:p w14:paraId="4ABD4E69" w14:textId="151ABF83" w:rsidR="00BB77FB" w:rsidRPr="008B7212" w:rsidRDefault="00BB77FB" w:rsidP="00BB77FB">
            <w:pPr>
              <w:rPr>
                <w:rFonts w:ascii="Times New Roman" w:hAnsi="Times New Roman" w:cs="Times New Roman"/>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r>
      <w:tr w:rsidR="00BB77FB" w:rsidRPr="008B7212" w14:paraId="2FE4E906" w14:textId="77777777" w:rsidTr="00DF64FC">
        <w:tc>
          <w:tcPr>
            <w:tcW w:w="4315" w:type="dxa"/>
          </w:tcPr>
          <w:p w14:paraId="541C290A" w14:textId="7573CDBA" w:rsidR="00BB77FB" w:rsidRPr="008B7212" w:rsidRDefault="00BB77FB" w:rsidP="00BB77FB">
            <w:pPr>
              <w:rPr>
                <w:rFonts w:ascii="Times New Roman" w:hAnsi="Times New Roman" w:cs="Times New Roman"/>
                <w:sz w:val="24"/>
                <w:szCs w:val="24"/>
              </w:rPr>
            </w:pPr>
            <w:r w:rsidRPr="008B7212">
              <w:rPr>
                <w:rFonts w:ascii="Times New Roman" w:eastAsia="Calibri" w:hAnsi="Times New Roman" w:cs="Times New Roman"/>
                <w:sz w:val="24"/>
                <w:szCs w:val="24"/>
              </w:rPr>
              <w:t xml:space="preserve">Draft and submit a local plan that describes proposed program model(s), goals and objectives, and evidence-based practices to be implemented. </w:t>
            </w:r>
          </w:p>
        </w:tc>
        <w:tc>
          <w:tcPr>
            <w:tcW w:w="2340" w:type="dxa"/>
          </w:tcPr>
          <w:p w14:paraId="575F4956" w14:textId="76A83C5F" w:rsidR="00BB77FB" w:rsidRPr="008B7212" w:rsidRDefault="00BB77FB" w:rsidP="00BB77FB">
            <w:pPr>
              <w:rPr>
                <w:rFonts w:ascii="Times New Roman" w:hAnsi="Times New Roman" w:cs="Times New Roman"/>
                <w:b/>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c>
          <w:tcPr>
            <w:tcW w:w="2695" w:type="dxa"/>
          </w:tcPr>
          <w:p w14:paraId="7D8D46E0" w14:textId="4250CCCF" w:rsidR="00BB77FB" w:rsidRPr="008B7212" w:rsidRDefault="00461762" w:rsidP="00BB77FB">
            <w:pPr>
              <w:rPr>
                <w:rFonts w:ascii="Times New Roman" w:hAnsi="Times New Roman" w:cs="Times New Roman"/>
                <w:sz w:val="24"/>
                <w:szCs w:val="24"/>
              </w:rPr>
            </w:pPr>
            <w:r>
              <w:rPr>
                <w:rFonts w:ascii="Times New Roman" w:eastAsia="Calibri" w:hAnsi="Times New Roman" w:cs="Times New Roman"/>
                <w:sz w:val="24"/>
                <w:szCs w:val="24"/>
              </w:rPr>
              <w:t xml:space="preserve">Due </w:t>
            </w:r>
            <w:r w:rsidR="000E6F36">
              <w:rPr>
                <w:rFonts w:ascii="Times New Roman" w:eastAsia="Calibri" w:hAnsi="Times New Roman" w:cs="Times New Roman"/>
                <w:sz w:val="24"/>
                <w:szCs w:val="24"/>
              </w:rPr>
              <w:t xml:space="preserve">on or before </w:t>
            </w:r>
            <w:r>
              <w:rPr>
                <w:rFonts w:ascii="Times New Roman" w:eastAsia="Calibri" w:hAnsi="Times New Roman" w:cs="Times New Roman"/>
                <w:sz w:val="24"/>
                <w:szCs w:val="24"/>
              </w:rPr>
              <w:t xml:space="preserve">July 15, 2019 </w:t>
            </w:r>
          </w:p>
        </w:tc>
      </w:tr>
      <w:tr w:rsidR="00BB77FB" w:rsidRPr="008B7212" w14:paraId="351EA8AE" w14:textId="77777777" w:rsidTr="00DF64FC">
        <w:tc>
          <w:tcPr>
            <w:tcW w:w="4315" w:type="dxa"/>
          </w:tcPr>
          <w:p w14:paraId="7BCC6983" w14:textId="30CE04DB" w:rsidR="00BB77FB" w:rsidRPr="008B7212" w:rsidRDefault="00BB77FB">
            <w:pPr>
              <w:rPr>
                <w:rFonts w:ascii="Times New Roman" w:eastAsia="Calibri" w:hAnsi="Times New Roman" w:cs="Times New Roman"/>
                <w:sz w:val="24"/>
                <w:szCs w:val="24"/>
              </w:rPr>
            </w:pPr>
            <w:r w:rsidRPr="008B7212">
              <w:rPr>
                <w:rFonts w:ascii="Times New Roman" w:hAnsi="Times New Roman" w:cs="Times New Roman"/>
                <w:sz w:val="24"/>
                <w:szCs w:val="24"/>
              </w:rPr>
              <w:t xml:space="preserve">Submit </w:t>
            </w:r>
            <w:r w:rsidR="007F5397">
              <w:rPr>
                <w:rFonts w:ascii="Times New Roman" w:hAnsi="Times New Roman" w:cs="Times New Roman"/>
                <w:sz w:val="24"/>
                <w:szCs w:val="24"/>
              </w:rPr>
              <w:t>periodic</w:t>
            </w:r>
            <w:r w:rsidR="007F5397" w:rsidRPr="008B7212">
              <w:rPr>
                <w:rFonts w:ascii="Times New Roman" w:hAnsi="Times New Roman" w:cs="Times New Roman"/>
                <w:sz w:val="24"/>
                <w:szCs w:val="24"/>
              </w:rPr>
              <w:t xml:space="preserve"> </w:t>
            </w:r>
            <w:r w:rsidRPr="008B7212">
              <w:rPr>
                <w:rFonts w:ascii="Times New Roman" w:hAnsi="Times New Roman" w:cs="Times New Roman"/>
                <w:sz w:val="24"/>
                <w:szCs w:val="24"/>
              </w:rPr>
              <w:t>fiscal reports to ICJIA</w:t>
            </w:r>
          </w:p>
        </w:tc>
        <w:tc>
          <w:tcPr>
            <w:tcW w:w="2340" w:type="dxa"/>
          </w:tcPr>
          <w:p w14:paraId="6BF8BABA" w14:textId="4A55D0B3" w:rsidR="00BB77FB" w:rsidRPr="008B7212" w:rsidRDefault="00BB77FB" w:rsidP="00BB77FB">
            <w:pPr>
              <w:rPr>
                <w:rFonts w:ascii="Times New Roman" w:hAnsi="Times New Roman" w:cs="Times New Roman"/>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c>
          <w:tcPr>
            <w:tcW w:w="2695" w:type="dxa"/>
          </w:tcPr>
          <w:p w14:paraId="40206064" w14:textId="34D822D1" w:rsidR="00BB77FB" w:rsidRPr="008B7212" w:rsidRDefault="007F5397" w:rsidP="00BB77FB">
            <w:pPr>
              <w:rPr>
                <w:rFonts w:ascii="Times New Roman" w:hAnsi="Times New Roman" w:cs="Times New Roman"/>
                <w:sz w:val="24"/>
                <w:szCs w:val="24"/>
              </w:rPr>
            </w:pPr>
            <w:r>
              <w:rPr>
                <w:rFonts w:ascii="Times New Roman" w:hAnsi="Times New Roman" w:cs="Times New Roman"/>
                <w:sz w:val="24"/>
                <w:szCs w:val="24"/>
              </w:rPr>
              <w:t xml:space="preserve">Monthly, by the </w:t>
            </w:r>
            <w:r w:rsidR="00BB77FB" w:rsidRPr="008B7212">
              <w:rPr>
                <w:rFonts w:ascii="Times New Roman" w:hAnsi="Times New Roman" w:cs="Times New Roman"/>
                <w:sz w:val="24"/>
                <w:szCs w:val="24"/>
              </w:rPr>
              <w:t>15</w:t>
            </w:r>
            <w:r w:rsidR="00BB77FB" w:rsidRPr="008B7212">
              <w:rPr>
                <w:rFonts w:ascii="Times New Roman" w:hAnsi="Times New Roman" w:cs="Times New Roman"/>
                <w:sz w:val="24"/>
                <w:szCs w:val="24"/>
                <w:vertAlign w:val="superscript"/>
              </w:rPr>
              <w:t>th</w:t>
            </w:r>
            <w:r w:rsidR="00BB77FB" w:rsidRPr="008B7212">
              <w:rPr>
                <w:rFonts w:ascii="Times New Roman" w:hAnsi="Times New Roman" w:cs="Times New Roman"/>
                <w:sz w:val="24"/>
                <w:szCs w:val="24"/>
              </w:rPr>
              <w:t xml:space="preserve"> of the following month </w:t>
            </w:r>
          </w:p>
        </w:tc>
      </w:tr>
      <w:tr w:rsidR="00BB77FB" w:rsidRPr="008B7212" w14:paraId="015FFD20" w14:textId="77777777" w:rsidTr="00DF64FC">
        <w:tc>
          <w:tcPr>
            <w:tcW w:w="4315" w:type="dxa"/>
          </w:tcPr>
          <w:p w14:paraId="16A69E91" w14:textId="26633967" w:rsidR="00BB77FB" w:rsidRPr="008B7212" w:rsidRDefault="00BB77FB">
            <w:pPr>
              <w:rPr>
                <w:rFonts w:ascii="Times New Roman" w:hAnsi="Times New Roman" w:cs="Times New Roman"/>
                <w:sz w:val="24"/>
                <w:szCs w:val="24"/>
              </w:rPr>
            </w:pPr>
            <w:r w:rsidRPr="008B7212">
              <w:rPr>
                <w:rFonts w:ascii="Times New Roman" w:hAnsi="Times New Roman" w:cs="Times New Roman"/>
                <w:sz w:val="24"/>
                <w:szCs w:val="24"/>
              </w:rPr>
              <w:t xml:space="preserve">Submit </w:t>
            </w:r>
            <w:r w:rsidR="007F5397">
              <w:rPr>
                <w:rFonts w:ascii="Times New Roman" w:hAnsi="Times New Roman" w:cs="Times New Roman"/>
                <w:sz w:val="24"/>
                <w:szCs w:val="24"/>
              </w:rPr>
              <w:t>periodic</w:t>
            </w:r>
            <w:r w:rsidR="007F5397" w:rsidRPr="008B7212">
              <w:rPr>
                <w:rFonts w:ascii="Times New Roman" w:hAnsi="Times New Roman" w:cs="Times New Roman"/>
                <w:sz w:val="24"/>
                <w:szCs w:val="24"/>
              </w:rPr>
              <w:t xml:space="preserve"> </w:t>
            </w:r>
            <w:r w:rsidR="007F5397">
              <w:rPr>
                <w:rFonts w:ascii="Times New Roman" w:hAnsi="Times New Roman" w:cs="Times New Roman"/>
                <w:sz w:val="24"/>
                <w:szCs w:val="24"/>
              </w:rPr>
              <w:t>progress</w:t>
            </w:r>
            <w:r w:rsidR="007F5397" w:rsidRPr="008B7212">
              <w:rPr>
                <w:rFonts w:ascii="Times New Roman" w:hAnsi="Times New Roman" w:cs="Times New Roman"/>
                <w:sz w:val="24"/>
                <w:szCs w:val="24"/>
              </w:rPr>
              <w:t xml:space="preserve"> </w:t>
            </w:r>
            <w:r w:rsidRPr="008B7212">
              <w:rPr>
                <w:rFonts w:ascii="Times New Roman" w:hAnsi="Times New Roman" w:cs="Times New Roman"/>
                <w:sz w:val="24"/>
                <w:szCs w:val="24"/>
              </w:rPr>
              <w:t>report</w:t>
            </w:r>
            <w:r w:rsidR="007F5397">
              <w:rPr>
                <w:rFonts w:ascii="Times New Roman" w:hAnsi="Times New Roman" w:cs="Times New Roman"/>
                <w:sz w:val="24"/>
                <w:szCs w:val="24"/>
              </w:rPr>
              <w:t>s</w:t>
            </w:r>
            <w:r w:rsidRPr="008B7212">
              <w:rPr>
                <w:rFonts w:ascii="Times New Roman" w:hAnsi="Times New Roman" w:cs="Times New Roman"/>
                <w:sz w:val="24"/>
                <w:szCs w:val="24"/>
              </w:rPr>
              <w:t xml:space="preserve"> to ICJIA</w:t>
            </w:r>
          </w:p>
        </w:tc>
        <w:tc>
          <w:tcPr>
            <w:tcW w:w="2340" w:type="dxa"/>
          </w:tcPr>
          <w:p w14:paraId="111DD25B" w14:textId="0AFB6810" w:rsidR="00BB77FB" w:rsidRPr="008B7212" w:rsidRDefault="00BB77FB" w:rsidP="00BB77FB">
            <w:pPr>
              <w:rPr>
                <w:rFonts w:ascii="Times New Roman" w:hAnsi="Times New Roman" w:cs="Times New Roman"/>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c>
          <w:tcPr>
            <w:tcW w:w="2695" w:type="dxa"/>
          </w:tcPr>
          <w:p w14:paraId="401BB0F2" w14:textId="62BC7D4C" w:rsidR="00BB77FB" w:rsidRPr="008B7212" w:rsidRDefault="007F5397" w:rsidP="00BB77FB">
            <w:pPr>
              <w:rPr>
                <w:rFonts w:ascii="Times New Roman" w:hAnsi="Times New Roman" w:cs="Times New Roman"/>
                <w:sz w:val="24"/>
                <w:szCs w:val="24"/>
              </w:rPr>
            </w:pPr>
            <w:r>
              <w:rPr>
                <w:rFonts w:ascii="Times New Roman" w:hAnsi="Times New Roman" w:cs="Times New Roman"/>
                <w:sz w:val="24"/>
                <w:szCs w:val="24"/>
              </w:rPr>
              <w:t xml:space="preserve">Quarterly, by </w:t>
            </w:r>
            <w:r w:rsidR="00BB77FB" w:rsidRPr="008B7212">
              <w:rPr>
                <w:rFonts w:ascii="Times New Roman" w:hAnsi="Times New Roman" w:cs="Times New Roman"/>
                <w:sz w:val="24"/>
                <w:szCs w:val="24"/>
              </w:rPr>
              <w:t>15</w:t>
            </w:r>
            <w:r w:rsidR="00BB77FB" w:rsidRPr="008B7212">
              <w:rPr>
                <w:rFonts w:ascii="Times New Roman" w:hAnsi="Times New Roman" w:cs="Times New Roman"/>
                <w:sz w:val="24"/>
                <w:szCs w:val="24"/>
                <w:vertAlign w:val="superscript"/>
              </w:rPr>
              <w:t>th</w:t>
            </w:r>
            <w:r w:rsidR="00BB77FB" w:rsidRPr="008B7212">
              <w:rPr>
                <w:rFonts w:ascii="Times New Roman" w:hAnsi="Times New Roman" w:cs="Times New Roman"/>
                <w:sz w:val="24"/>
                <w:szCs w:val="24"/>
              </w:rPr>
              <w:t xml:space="preserve"> of the month following the end of the quarter</w:t>
            </w:r>
          </w:p>
        </w:tc>
      </w:tr>
      <w:tr w:rsidR="00BB77FB" w:rsidRPr="008B7212" w14:paraId="137DC655" w14:textId="77777777" w:rsidTr="00DF64FC">
        <w:tc>
          <w:tcPr>
            <w:tcW w:w="4315" w:type="dxa"/>
          </w:tcPr>
          <w:p w14:paraId="7439F892" w14:textId="42B13219" w:rsidR="00BB77FB" w:rsidRPr="008B7212" w:rsidRDefault="00BB77FB" w:rsidP="00BB77FB">
            <w:pPr>
              <w:rPr>
                <w:rFonts w:ascii="Times New Roman" w:eastAsia="Calibri" w:hAnsi="Times New Roman" w:cs="Times New Roman"/>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c>
          <w:tcPr>
            <w:tcW w:w="2340" w:type="dxa"/>
          </w:tcPr>
          <w:p w14:paraId="6F01DF50" w14:textId="22DBC685" w:rsidR="00BB77FB" w:rsidRPr="008B7212" w:rsidRDefault="00BB77FB" w:rsidP="00BB77FB">
            <w:pPr>
              <w:rPr>
                <w:rFonts w:ascii="Times New Roman" w:hAnsi="Times New Roman" w:cs="Times New Roman"/>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c>
          <w:tcPr>
            <w:tcW w:w="2695" w:type="dxa"/>
          </w:tcPr>
          <w:p w14:paraId="35E0FE05" w14:textId="0B9373F2" w:rsidR="00BB77FB" w:rsidRPr="008B7212" w:rsidRDefault="00BB77FB" w:rsidP="00BB77FB">
            <w:pPr>
              <w:rPr>
                <w:rFonts w:ascii="Times New Roman" w:hAnsi="Times New Roman" w:cs="Times New Roman"/>
                <w:sz w:val="24"/>
                <w:szCs w:val="24"/>
              </w:rPr>
            </w:pPr>
            <w:r w:rsidRPr="008B7212">
              <w:fldChar w:fldCharType="begin">
                <w:ffData>
                  <w:name w:val="Text1"/>
                  <w:enabled/>
                  <w:calcOnExit w:val="0"/>
                  <w:textInput/>
                </w:ffData>
              </w:fldChar>
            </w:r>
            <w:r w:rsidRPr="008B7212">
              <w:rPr>
                <w:rFonts w:ascii="Times New Roman" w:hAnsi="Times New Roman" w:cs="Times New Roman"/>
                <w:sz w:val="24"/>
                <w:szCs w:val="24"/>
              </w:rPr>
              <w:instrText xml:space="preserve"> FORMTEXT </w:instrText>
            </w:r>
            <w:r w:rsidRPr="008B7212">
              <w:fldChar w:fldCharType="separate"/>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rPr>
                <w:rFonts w:ascii="Times New Roman" w:hAnsi="Times New Roman" w:cs="Times New Roman"/>
                <w:noProof/>
                <w:sz w:val="24"/>
                <w:szCs w:val="24"/>
              </w:rPr>
              <w:t> </w:t>
            </w:r>
            <w:r w:rsidRPr="008B7212">
              <w:fldChar w:fldCharType="end"/>
            </w:r>
          </w:p>
        </w:tc>
      </w:tr>
      <w:tr w:rsidR="00BB77FB" w:rsidRPr="006D1231" w14:paraId="45405F61" w14:textId="77777777" w:rsidTr="00DF64FC">
        <w:tc>
          <w:tcPr>
            <w:tcW w:w="4315" w:type="dxa"/>
          </w:tcPr>
          <w:p w14:paraId="6E4F0D3B" w14:textId="32D3C715" w:rsidR="00BB77FB" w:rsidRPr="0072377A" w:rsidRDefault="00BB77FB" w:rsidP="00BB77FB">
            <w:pPr>
              <w:rPr>
                <w:rFonts w:ascii="Times New Roman" w:hAnsi="Times New Roman" w:cs="Times New Roman"/>
                <w:sz w:val="24"/>
                <w:szCs w:val="24"/>
              </w:rPr>
            </w:pPr>
            <w:r w:rsidRPr="00FD7E1C">
              <w:fldChar w:fldCharType="begin">
                <w:ffData>
                  <w:name w:val="Text1"/>
                  <w:enabled/>
                  <w:calcOnExit w:val="0"/>
                  <w:textInput/>
                </w:ffData>
              </w:fldChar>
            </w:r>
            <w:r w:rsidRPr="00FD7E1C">
              <w:rPr>
                <w:sz w:val="24"/>
              </w:rPr>
              <w:instrText xml:space="preserve"> FORMTEXT </w:instrText>
            </w:r>
            <w:r w:rsidRPr="00FD7E1C">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fldChar w:fldCharType="end"/>
            </w:r>
          </w:p>
        </w:tc>
        <w:tc>
          <w:tcPr>
            <w:tcW w:w="2340" w:type="dxa"/>
          </w:tcPr>
          <w:p w14:paraId="69BB8B64" w14:textId="01894501" w:rsidR="00BB77FB" w:rsidRPr="0072377A" w:rsidRDefault="00BB77FB" w:rsidP="00BB77FB">
            <w:pPr>
              <w:rPr>
                <w:rFonts w:ascii="Times New Roman" w:hAnsi="Times New Roman" w:cs="Times New Roman"/>
                <w:sz w:val="24"/>
                <w:szCs w:val="24"/>
              </w:rPr>
            </w:pPr>
            <w:r w:rsidRPr="00FD7E1C">
              <w:fldChar w:fldCharType="begin">
                <w:ffData>
                  <w:name w:val="Text1"/>
                  <w:enabled/>
                  <w:calcOnExit w:val="0"/>
                  <w:textInput/>
                </w:ffData>
              </w:fldChar>
            </w:r>
            <w:r w:rsidRPr="00FD7E1C">
              <w:rPr>
                <w:sz w:val="24"/>
              </w:rPr>
              <w:instrText xml:space="preserve"> FORMTEXT </w:instrText>
            </w:r>
            <w:r w:rsidRPr="00FD7E1C">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fldChar w:fldCharType="end"/>
            </w:r>
          </w:p>
        </w:tc>
        <w:tc>
          <w:tcPr>
            <w:tcW w:w="2695" w:type="dxa"/>
          </w:tcPr>
          <w:p w14:paraId="5ADF5803" w14:textId="0A28D8B6" w:rsidR="00BB77FB" w:rsidRPr="0072377A" w:rsidRDefault="00BB77FB" w:rsidP="00BB77FB">
            <w:pPr>
              <w:rPr>
                <w:rFonts w:ascii="Times New Roman" w:hAnsi="Times New Roman" w:cs="Times New Roman"/>
                <w:sz w:val="24"/>
                <w:szCs w:val="24"/>
              </w:rPr>
            </w:pPr>
            <w:r w:rsidRPr="00FD7E1C">
              <w:fldChar w:fldCharType="begin">
                <w:ffData>
                  <w:name w:val="Text1"/>
                  <w:enabled/>
                  <w:calcOnExit w:val="0"/>
                  <w:textInput/>
                </w:ffData>
              </w:fldChar>
            </w:r>
            <w:r w:rsidRPr="00FD7E1C">
              <w:rPr>
                <w:sz w:val="24"/>
              </w:rPr>
              <w:instrText xml:space="preserve"> FORMTEXT </w:instrText>
            </w:r>
            <w:r w:rsidRPr="00FD7E1C">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fldChar w:fldCharType="end"/>
            </w:r>
          </w:p>
        </w:tc>
      </w:tr>
    </w:tbl>
    <w:p w14:paraId="14E2E673" w14:textId="77777777" w:rsidR="00C8263A" w:rsidRPr="00C8263A" w:rsidRDefault="00C8263A" w:rsidP="00C8263A">
      <w:pPr>
        <w:ind w:left="0"/>
        <w:rPr>
          <w:sz w:val="22"/>
          <w:szCs w:val="22"/>
        </w:rPr>
      </w:pPr>
    </w:p>
    <w:sectPr w:rsidR="00C8263A" w:rsidRPr="00C8263A" w:rsidSect="00F2334A">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97885" w14:textId="77777777" w:rsidR="00FD5859" w:rsidRDefault="00FD5859">
      <w:r>
        <w:separator/>
      </w:r>
    </w:p>
  </w:endnote>
  <w:endnote w:type="continuationSeparator" w:id="0">
    <w:p w14:paraId="2794A1B8" w14:textId="77777777" w:rsidR="00FD5859" w:rsidRDefault="00F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15199" w14:textId="0E39E923" w:rsidR="00FD5859" w:rsidRDefault="00FD5859">
    <w:pPr>
      <w:tabs>
        <w:tab w:val="center" w:pos="4680"/>
        <w:tab w:val="right" w:pos="9360"/>
      </w:tabs>
      <w:spacing w:after="720"/>
      <w:jc w:val="right"/>
    </w:pPr>
    <w:r>
      <w:fldChar w:fldCharType="begin"/>
    </w:r>
    <w:r>
      <w:instrText>PAGE</w:instrText>
    </w:r>
    <w:r>
      <w:fldChar w:fldCharType="separate"/>
    </w:r>
    <w:r w:rsidR="00903F62">
      <w:rPr>
        <w:noProof/>
      </w:rPr>
      <w:t>1</w:t>
    </w:r>
    <w:r>
      <w:fldChar w:fldCharType="end"/>
    </w:r>
  </w:p>
  <w:p w14:paraId="4B842F53" w14:textId="77777777" w:rsidR="00FD5859" w:rsidRDefault="00FD5859">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3DC7A" w14:textId="77777777" w:rsidR="00FD5859" w:rsidRDefault="00FD5859">
      <w:r>
        <w:separator/>
      </w:r>
    </w:p>
  </w:footnote>
  <w:footnote w:type="continuationSeparator" w:id="0">
    <w:p w14:paraId="20AEEC62" w14:textId="77777777" w:rsidR="00FD5859" w:rsidRDefault="00FD5859">
      <w:r>
        <w:continuationSeparator/>
      </w:r>
    </w:p>
  </w:footnote>
  <w:footnote w:id="1">
    <w:p w14:paraId="5758ACFA" w14:textId="2115E4A9" w:rsidR="00FD5859" w:rsidRPr="00D938BD" w:rsidRDefault="00FD5859" w:rsidP="00D938BD">
      <w:pPr>
        <w:pStyle w:val="Default"/>
        <w:rPr>
          <w:rFonts w:ascii="Times New Roman" w:hAnsi="Times New Roman" w:cs="Times New Roman"/>
          <w:sz w:val="20"/>
          <w:szCs w:val="20"/>
        </w:rPr>
      </w:pPr>
      <w:r w:rsidRPr="00D938BD">
        <w:rPr>
          <w:rStyle w:val="FootnoteReference"/>
          <w:rFonts w:ascii="Times New Roman" w:hAnsi="Times New Roman" w:cs="Times New Roman"/>
          <w:sz w:val="20"/>
          <w:szCs w:val="20"/>
        </w:rPr>
        <w:footnoteRef/>
      </w:r>
      <w:r w:rsidRPr="00D938BD">
        <w:rPr>
          <w:rFonts w:ascii="Times New Roman" w:hAnsi="Times New Roman" w:cs="Times New Roman"/>
          <w:sz w:val="20"/>
          <w:szCs w:val="20"/>
        </w:rPr>
        <w:t xml:space="preserve"> Pursuant to Public Act 100-0999, effective January 1, 2019, the Crime Reduction Act</w:t>
      </w:r>
      <w:r>
        <w:rPr>
          <w:rFonts w:ascii="Times New Roman" w:hAnsi="Times New Roman" w:cs="Times New Roman"/>
          <w:sz w:val="20"/>
          <w:szCs w:val="20"/>
        </w:rPr>
        <w:t xml:space="preserve"> of 2009</w:t>
      </w:r>
      <w:r w:rsidRPr="00D938BD">
        <w:rPr>
          <w:rFonts w:ascii="Times New Roman" w:hAnsi="Times New Roman" w:cs="Times New Roman"/>
          <w:sz w:val="20"/>
          <w:szCs w:val="20"/>
        </w:rPr>
        <w:t xml:space="preserve"> was amended to expand ARI eligibility to all probation-eligible offenses.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1FD7"/>
    <w:multiLevelType w:val="hybridMultilevel"/>
    <w:tmpl w:val="EBA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E04F7C"/>
    <w:multiLevelType w:val="hybridMultilevel"/>
    <w:tmpl w:val="6A2C89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7944FF"/>
    <w:multiLevelType w:val="hybridMultilevel"/>
    <w:tmpl w:val="4B3E1F8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0E75D6"/>
    <w:multiLevelType w:val="hybridMultilevel"/>
    <w:tmpl w:val="72546C60"/>
    <w:lvl w:ilvl="0" w:tplc="9E22302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232138"/>
    <w:multiLevelType w:val="multilevel"/>
    <w:tmpl w:val="2FB47514"/>
    <w:lvl w:ilvl="0">
      <w:start w:val="1"/>
      <w:numFmt w:val="bullet"/>
      <w:lvlText w:val=""/>
      <w:lvlJc w:val="left"/>
      <w:pPr>
        <w:ind w:left="720" w:firstLine="360"/>
      </w:pPr>
      <w:rPr>
        <w:rFonts w:ascii="Symbol" w:hAnsi="Symbol" w:hint="default"/>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15:restartNumberingAfterBreak="0">
    <w:nsid w:val="0B0B5C06"/>
    <w:multiLevelType w:val="hybridMultilevel"/>
    <w:tmpl w:val="032CECBA"/>
    <w:lvl w:ilvl="0" w:tplc="04090001">
      <w:start w:val="1"/>
      <w:numFmt w:val="bullet"/>
      <w:lvlText w:val=""/>
      <w:lvlJc w:val="left"/>
      <w:pPr>
        <w:tabs>
          <w:tab w:val="num" w:pos="720"/>
        </w:tabs>
        <w:ind w:left="720" w:hanging="360"/>
      </w:pPr>
      <w:rPr>
        <w:rFonts w:ascii="Symbol" w:hAnsi="Symbol" w:hint="default"/>
      </w:rPr>
    </w:lvl>
    <w:lvl w:ilvl="1" w:tplc="56C4324E">
      <w:start w:val="1"/>
      <w:numFmt w:val="bullet"/>
      <w:lvlText w:val="•"/>
      <w:lvlJc w:val="left"/>
      <w:pPr>
        <w:tabs>
          <w:tab w:val="num" w:pos="1440"/>
        </w:tabs>
        <w:ind w:left="1440" w:hanging="360"/>
      </w:pPr>
      <w:rPr>
        <w:rFonts w:ascii="Arial" w:hAnsi="Arial" w:cs="Times New Roman" w:hint="default"/>
      </w:rPr>
    </w:lvl>
    <w:lvl w:ilvl="2" w:tplc="644C1D88">
      <w:start w:val="1"/>
      <w:numFmt w:val="bullet"/>
      <w:lvlText w:val="•"/>
      <w:lvlJc w:val="left"/>
      <w:pPr>
        <w:tabs>
          <w:tab w:val="num" w:pos="2160"/>
        </w:tabs>
        <w:ind w:left="2160" w:hanging="360"/>
      </w:pPr>
      <w:rPr>
        <w:rFonts w:ascii="Arial" w:hAnsi="Arial" w:cs="Times New Roman" w:hint="default"/>
      </w:rPr>
    </w:lvl>
    <w:lvl w:ilvl="3" w:tplc="39B2E2DA">
      <w:start w:val="1"/>
      <w:numFmt w:val="bullet"/>
      <w:lvlText w:val="•"/>
      <w:lvlJc w:val="left"/>
      <w:pPr>
        <w:tabs>
          <w:tab w:val="num" w:pos="2880"/>
        </w:tabs>
        <w:ind w:left="2880" w:hanging="360"/>
      </w:pPr>
      <w:rPr>
        <w:rFonts w:ascii="Arial" w:hAnsi="Arial" w:cs="Times New Roman" w:hint="default"/>
      </w:rPr>
    </w:lvl>
    <w:lvl w:ilvl="4" w:tplc="7CEE1EDE">
      <w:start w:val="1"/>
      <w:numFmt w:val="bullet"/>
      <w:lvlText w:val="•"/>
      <w:lvlJc w:val="left"/>
      <w:pPr>
        <w:tabs>
          <w:tab w:val="num" w:pos="3600"/>
        </w:tabs>
        <w:ind w:left="3600" w:hanging="360"/>
      </w:pPr>
      <w:rPr>
        <w:rFonts w:ascii="Arial" w:hAnsi="Arial" w:cs="Times New Roman" w:hint="default"/>
      </w:rPr>
    </w:lvl>
    <w:lvl w:ilvl="5" w:tplc="6D861502">
      <w:start w:val="1"/>
      <w:numFmt w:val="bullet"/>
      <w:lvlText w:val="•"/>
      <w:lvlJc w:val="left"/>
      <w:pPr>
        <w:tabs>
          <w:tab w:val="num" w:pos="4320"/>
        </w:tabs>
        <w:ind w:left="4320" w:hanging="360"/>
      </w:pPr>
      <w:rPr>
        <w:rFonts w:ascii="Arial" w:hAnsi="Arial" w:cs="Times New Roman" w:hint="default"/>
      </w:rPr>
    </w:lvl>
    <w:lvl w:ilvl="6" w:tplc="2DA8EDA0">
      <w:start w:val="1"/>
      <w:numFmt w:val="bullet"/>
      <w:lvlText w:val="•"/>
      <w:lvlJc w:val="left"/>
      <w:pPr>
        <w:tabs>
          <w:tab w:val="num" w:pos="5040"/>
        </w:tabs>
        <w:ind w:left="5040" w:hanging="360"/>
      </w:pPr>
      <w:rPr>
        <w:rFonts w:ascii="Arial" w:hAnsi="Arial" w:cs="Times New Roman" w:hint="default"/>
      </w:rPr>
    </w:lvl>
    <w:lvl w:ilvl="7" w:tplc="C1D80F18">
      <w:start w:val="1"/>
      <w:numFmt w:val="bullet"/>
      <w:lvlText w:val="•"/>
      <w:lvlJc w:val="left"/>
      <w:pPr>
        <w:tabs>
          <w:tab w:val="num" w:pos="5760"/>
        </w:tabs>
        <w:ind w:left="5760" w:hanging="360"/>
      </w:pPr>
      <w:rPr>
        <w:rFonts w:ascii="Arial" w:hAnsi="Arial" w:cs="Times New Roman" w:hint="default"/>
      </w:rPr>
    </w:lvl>
    <w:lvl w:ilvl="8" w:tplc="8DFC8018">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0DBB60AD"/>
    <w:multiLevelType w:val="multilevel"/>
    <w:tmpl w:val="4836B118"/>
    <w:lvl w:ilvl="0">
      <w:start w:val="1"/>
      <w:numFmt w:val="upperRoman"/>
      <w:lvlText w:val="%1."/>
      <w:lvlJc w:val="lef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rFonts w:ascii="Calibri" w:eastAsia="Calibri" w:hAnsi="Calibri" w:cs="Calibri"/>
        <w:b w:val="0"/>
        <w:i w:val="0"/>
        <w:color w:val="000000"/>
        <w:sz w:val="22"/>
        <w:szCs w:val="22"/>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7" w15:restartNumberingAfterBreak="0">
    <w:nsid w:val="0E35413E"/>
    <w:multiLevelType w:val="hybridMultilevel"/>
    <w:tmpl w:val="763695D6"/>
    <w:lvl w:ilvl="0" w:tplc="9DC2A1BE">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3CC3ECC"/>
    <w:multiLevelType w:val="multilevel"/>
    <w:tmpl w:val="91F042D0"/>
    <w:lvl w:ilvl="0">
      <w:start w:val="1"/>
      <w:numFmt w:val="upperLetter"/>
      <w:lvlText w:val="%1."/>
      <w:lvlJc w:val="left"/>
      <w:pPr>
        <w:ind w:left="0" w:firstLine="720"/>
      </w:pPr>
    </w:lvl>
    <w:lvl w:ilvl="1">
      <w:start w:val="1"/>
      <w:numFmt w:val="lowerLetter"/>
      <w:lvlText w:val="%2."/>
      <w:lvlJc w:val="left"/>
      <w:pPr>
        <w:ind w:left="720" w:firstLine="2880"/>
      </w:pPr>
    </w:lvl>
    <w:lvl w:ilvl="2">
      <w:start w:val="1"/>
      <w:numFmt w:val="lowerRoman"/>
      <w:lvlText w:val="%3."/>
      <w:lvlJc w:val="right"/>
      <w:pPr>
        <w:ind w:left="1440" w:firstLine="5220"/>
      </w:pPr>
    </w:lvl>
    <w:lvl w:ilvl="3">
      <w:start w:val="1"/>
      <w:numFmt w:val="decimal"/>
      <w:lvlText w:val="%4."/>
      <w:lvlJc w:val="left"/>
      <w:pPr>
        <w:ind w:left="2160" w:firstLine="7200"/>
      </w:pPr>
    </w:lvl>
    <w:lvl w:ilvl="4">
      <w:start w:val="1"/>
      <w:numFmt w:val="lowerLetter"/>
      <w:lvlText w:val="%5."/>
      <w:lvlJc w:val="left"/>
      <w:pPr>
        <w:ind w:left="2880" w:firstLine="9360"/>
      </w:pPr>
    </w:lvl>
    <w:lvl w:ilvl="5">
      <w:start w:val="1"/>
      <w:numFmt w:val="lowerRoman"/>
      <w:lvlText w:val="%6."/>
      <w:lvlJc w:val="right"/>
      <w:pPr>
        <w:ind w:left="3600" w:firstLine="11700"/>
      </w:pPr>
    </w:lvl>
    <w:lvl w:ilvl="6">
      <w:start w:val="1"/>
      <w:numFmt w:val="decimal"/>
      <w:lvlText w:val="%7."/>
      <w:lvlJc w:val="left"/>
      <w:pPr>
        <w:ind w:left="4320" w:firstLine="13680"/>
      </w:pPr>
    </w:lvl>
    <w:lvl w:ilvl="7">
      <w:start w:val="1"/>
      <w:numFmt w:val="lowerLetter"/>
      <w:lvlText w:val="%8."/>
      <w:lvlJc w:val="left"/>
      <w:pPr>
        <w:ind w:left="5040" w:firstLine="15840"/>
      </w:pPr>
    </w:lvl>
    <w:lvl w:ilvl="8">
      <w:start w:val="1"/>
      <w:numFmt w:val="lowerRoman"/>
      <w:lvlText w:val="%9."/>
      <w:lvlJc w:val="right"/>
      <w:pPr>
        <w:ind w:left="5760" w:firstLine="18180"/>
      </w:pPr>
    </w:lvl>
  </w:abstractNum>
  <w:abstractNum w:abstractNumId="9" w15:restartNumberingAfterBreak="0">
    <w:nsid w:val="15587A76"/>
    <w:multiLevelType w:val="hybridMultilevel"/>
    <w:tmpl w:val="ADDE93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1967337B"/>
    <w:multiLevelType w:val="hybridMultilevel"/>
    <w:tmpl w:val="63FC1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34551D"/>
    <w:multiLevelType w:val="hybridMultilevel"/>
    <w:tmpl w:val="11462B82"/>
    <w:lvl w:ilvl="0" w:tplc="ABA68A1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F5CC7"/>
    <w:multiLevelType w:val="hybridMultilevel"/>
    <w:tmpl w:val="1BB8BC6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0FB66D6"/>
    <w:multiLevelType w:val="hybridMultilevel"/>
    <w:tmpl w:val="25882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4C66E1"/>
    <w:multiLevelType w:val="hybridMultilevel"/>
    <w:tmpl w:val="2B7EDDA4"/>
    <w:lvl w:ilvl="0" w:tplc="508EB1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6D57B9"/>
    <w:multiLevelType w:val="multilevel"/>
    <w:tmpl w:val="75A6F8B2"/>
    <w:lvl w:ilvl="0">
      <w:start w:val="1"/>
      <w:numFmt w:val="decimal"/>
      <w:lvlText w:val="%1."/>
      <w:lvlJc w:val="left"/>
      <w:pPr>
        <w:ind w:left="-1800" w:firstLine="2070"/>
      </w:pPr>
      <w:rPr>
        <w:b/>
        <w:i w:val="0"/>
      </w:rPr>
    </w:lvl>
    <w:lvl w:ilvl="1">
      <w:start w:val="1"/>
      <w:numFmt w:val="lowerLetter"/>
      <w:lvlText w:val="%2."/>
      <w:lvlJc w:val="left"/>
      <w:pPr>
        <w:ind w:left="-1260" w:firstLine="4230"/>
      </w:pPr>
    </w:lvl>
    <w:lvl w:ilvl="2">
      <w:start w:val="1"/>
      <w:numFmt w:val="lowerRoman"/>
      <w:lvlText w:val="%3."/>
      <w:lvlJc w:val="right"/>
      <w:pPr>
        <w:ind w:left="-540" w:firstLine="6570"/>
      </w:pPr>
    </w:lvl>
    <w:lvl w:ilvl="3">
      <w:start w:val="1"/>
      <w:numFmt w:val="decimal"/>
      <w:lvlText w:val="%4."/>
      <w:lvlJc w:val="left"/>
      <w:pPr>
        <w:ind w:left="180" w:firstLine="8550"/>
      </w:pPr>
    </w:lvl>
    <w:lvl w:ilvl="4">
      <w:start w:val="1"/>
      <w:numFmt w:val="lowerLetter"/>
      <w:lvlText w:val="%5."/>
      <w:lvlJc w:val="left"/>
      <w:pPr>
        <w:ind w:left="900" w:firstLine="10710"/>
      </w:pPr>
    </w:lvl>
    <w:lvl w:ilvl="5">
      <w:start w:val="1"/>
      <w:numFmt w:val="lowerRoman"/>
      <w:lvlText w:val="%6."/>
      <w:lvlJc w:val="right"/>
      <w:pPr>
        <w:ind w:left="1620" w:firstLine="13050"/>
      </w:pPr>
    </w:lvl>
    <w:lvl w:ilvl="6">
      <w:start w:val="1"/>
      <w:numFmt w:val="decimal"/>
      <w:lvlText w:val="%7."/>
      <w:lvlJc w:val="left"/>
      <w:pPr>
        <w:ind w:left="2340" w:firstLine="15030"/>
      </w:pPr>
    </w:lvl>
    <w:lvl w:ilvl="7">
      <w:start w:val="1"/>
      <w:numFmt w:val="lowerLetter"/>
      <w:lvlText w:val="%8."/>
      <w:lvlJc w:val="left"/>
      <w:pPr>
        <w:ind w:left="3060" w:firstLine="17190"/>
      </w:pPr>
    </w:lvl>
    <w:lvl w:ilvl="8">
      <w:start w:val="1"/>
      <w:numFmt w:val="lowerRoman"/>
      <w:lvlText w:val="%9."/>
      <w:lvlJc w:val="right"/>
      <w:pPr>
        <w:ind w:left="3780" w:firstLine="19530"/>
      </w:pPr>
    </w:lvl>
  </w:abstractNum>
  <w:abstractNum w:abstractNumId="16" w15:restartNumberingAfterBreak="0">
    <w:nsid w:val="229036EF"/>
    <w:multiLevelType w:val="hybridMultilevel"/>
    <w:tmpl w:val="300CCA78"/>
    <w:lvl w:ilvl="0" w:tplc="164CB19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F66C86"/>
    <w:multiLevelType w:val="hybridMultilevel"/>
    <w:tmpl w:val="9DE03F4C"/>
    <w:lvl w:ilvl="0" w:tplc="685630D4">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7B5C7E"/>
    <w:multiLevelType w:val="hybridMultilevel"/>
    <w:tmpl w:val="31B2D396"/>
    <w:lvl w:ilvl="0" w:tplc="394A499C">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1D5BC2"/>
    <w:multiLevelType w:val="hybridMultilevel"/>
    <w:tmpl w:val="BE0A409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29793E9E"/>
    <w:multiLevelType w:val="hybridMultilevel"/>
    <w:tmpl w:val="EDE4E8C6"/>
    <w:lvl w:ilvl="0" w:tplc="215AC238">
      <w:start w:val="1"/>
      <w:numFmt w:val="bullet"/>
      <w:lvlText w:val="-"/>
      <w:lvlJc w:val="left"/>
      <w:pPr>
        <w:ind w:left="900" w:hanging="360"/>
      </w:pPr>
      <w:rPr>
        <w:rFonts w:ascii="Calibri" w:eastAsia="Calibri" w:hAnsi="Calibri"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1" w15:restartNumberingAfterBreak="0">
    <w:nsid w:val="2BB56FD4"/>
    <w:multiLevelType w:val="hybridMultilevel"/>
    <w:tmpl w:val="9D08C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C5B6516"/>
    <w:multiLevelType w:val="hybridMultilevel"/>
    <w:tmpl w:val="9D6A64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EE483D"/>
    <w:multiLevelType w:val="hybridMultilevel"/>
    <w:tmpl w:val="20BE5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EDA203B"/>
    <w:multiLevelType w:val="hybridMultilevel"/>
    <w:tmpl w:val="783E7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1D900CC"/>
    <w:multiLevelType w:val="multilevel"/>
    <w:tmpl w:val="91F042D0"/>
    <w:lvl w:ilvl="0">
      <w:start w:val="1"/>
      <w:numFmt w:val="upperLetter"/>
      <w:lvlText w:val="%1."/>
      <w:lvlJc w:val="left"/>
      <w:pPr>
        <w:ind w:left="360" w:firstLine="720"/>
      </w:p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26" w15:restartNumberingAfterBreak="0">
    <w:nsid w:val="32AF2B56"/>
    <w:multiLevelType w:val="hybridMultilevel"/>
    <w:tmpl w:val="9EACA5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45766B"/>
    <w:multiLevelType w:val="hybridMultilevel"/>
    <w:tmpl w:val="F8B25E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35C16AB6"/>
    <w:multiLevelType w:val="hybridMultilevel"/>
    <w:tmpl w:val="0C905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39F76783"/>
    <w:multiLevelType w:val="multilevel"/>
    <w:tmpl w:val="55C2690C"/>
    <w:lvl w:ilvl="0">
      <w:start w:val="1"/>
      <w:numFmt w:val="decimal"/>
      <w:lvlText w:val="%1."/>
      <w:lvlJc w:val="left"/>
      <w:pPr>
        <w:ind w:left="-1800" w:firstLine="2070"/>
      </w:pPr>
      <w:rPr>
        <w:b/>
        <w:i/>
      </w:rPr>
    </w:lvl>
    <w:lvl w:ilvl="1">
      <w:start w:val="1"/>
      <w:numFmt w:val="lowerLetter"/>
      <w:lvlText w:val="%2."/>
      <w:lvlJc w:val="left"/>
      <w:pPr>
        <w:ind w:left="-1260" w:firstLine="4230"/>
      </w:pPr>
    </w:lvl>
    <w:lvl w:ilvl="2">
      <w:start w:val="1"/>
      <w:numFmt w:val="lowerRoman"/>
      <w:lvlText w:val="%3."/>
      <w:lvlJc w:val="right"/>
      <w:pPr>
        <w:ind w:left="-540" w:firstLine="6570"/>
      </w:pPr>
    </w:lvl>
    <w:lvl w:ilvl="3">
      <w:start w:val="1"/>
      <w:numFmt w:val="decimal"/>
      <w:lvlText w:val="%4."/>
      <w:lvlJc w:val="left"/>
      <w:pPr>
        <w:ind w:left="180" w:firstLine="8550"/>
      </w:pPr>
    </w:lvl>
    <w:lvl w:ilvl="4">
      <w:start w:val="1"/>
      <w:numFmt w:val="lowerLetter"/>
      <w:lvlText w:val="%5."/>
      <w:lvlJc w:val="left"/>
      <w:pPr>
        <w:ind w:left="900" w:firstLine="10710"/>
      </w:pPr>
    </w:lvl>
    <w:lvl w:ilvl="5">
      <w:start w:val="1"/>
      <w:numFmt w:val="lowerRoman"/>
      <w:lvlText w:val="%6."/>
      <w:lvlJc w:val="right"/>
      <w:pPr>
        <w:ind w:left="1620" w:firstLine="13050"/>
      </w:pPr>
    </w:lvl>
    <w:lvl w:ilvl="6">
      <w:start w:val="1"/>
      <w:numFmt w:val="decimal"/>
      <w:lvlText w:val="%7."/>
      <w:lvlJc w:val="left"/>
      <w:pPr>
        <w:ind w:left="2340" w:firstLine="15030"/>
      </w:pPr>
    </w:lvl>
    <w:lvl w:ilvl="7">
      <w:start w:val="1"/>
      <w:numFmt w:val="lowerLetter"/>
      <w:lvlText w:val="%8."/>
      <w:lvlJc w:val="left"/>
      <w:pPr>
        <w:ind w:left="3060" w:firstLine="17190"/>
      </w:pPr>
    </w:lvl>
    <w:lvl w:ilvl="8">
      <w:start w:val="1"/>
      <w:numFmt w:val="lowerRoman"/>
      <w:lvlText w:val="%9."/>
      <w:lvlJc w:val="right"/>
      <w:pPr>
        <w:ind w:left="3780" w:firstLine="19530"/>
      </w:pPr>
    </w:lvl>
  </w:abstractNum>
  <w:abstractNum w:abstractNumId="31" w15:restartNumberingAfterBreak="0">
    <w:nsid w:val="3D471144"/>
    <w:multiLevelType w:val="hybridMultilevel"/>
    <w:tmpl w:val="B27E1CAC"/>
    <w:lvl w:ilvl="0" w:tplc="8E2CA55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40AA794E"/>
    <w:multiLevelType w:val="hybridMultilevel"/>
    <w:tmpl w:val="3814E2BA"/>
    <w:lvl w:ilvl="0" w:tplc="04090001">
      <w:start w:val="1"/>
      <w:numFmt w:val="bullet"/>
      <w:lvlText w:val=""/>
      <w:lvlJc w:val="left"/>
      <w:pPr>
        <w:ind w:left="720" w:hanging="360"/>
      </w:pPr>
      <w:rPr>
        <w:rFonts w:ascii="Symbol" w:hAnsi="Symbol" w:hint="default"/>
      </w:rPr>
    </w:lvl>
    <w:lvl w:ilvl="1" w:tplc="D4C40F4A">
      <w:numFmt w:val="bullet"/>
      <w:lvlText w:val="•"/>
      <w:lvlJc w:val="left"/>
      <w:pPr>
        <w:ind w:left="2160" w:hanging="108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824941"/>
    <w:multiLevelType w:val="hybridMultilevel"/>
    <w:tmpl w:val="1526D3AA"/>
    <w:lvl w:ilvl="0" w:tplc="CCD6CFFC">
      <w:start w:val="1"/>
      <w:numFmt w:val="lowerLetter"/>
      <w:lvlText w:val="(%1)"/>
      <w:lvlJc w:val="left"/>
      <w:pPr>
        <w:ind w:left="1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D300FBE">
      <w:start w:val="1"/>
      <w:numFmt w:val="decimal"/>
      <w:lvlText w:val="(%2)"/>
      <w:lvlJc w:val="left"/>
      <w:pPr>
        <w:ind w:left="22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DFC0C9C">
      <w:start w:val="1"/>
      <w:numFmt w:val="upperLetter"/>
      <w:lvlText w:val="(%3)"/>
      <w:lvlJc w:val="left"/>
      <w:pPr>
        <w:ind w:left="26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F54E0F0">
      <w:start w:val="1"/>
      <w:numFmt w:val="decimal"/>
      <w:lvlText w:val="%4"/>
      <w:lvlJc w:val="left"/>
      <w:pPr>
        <w:ind w:left="32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B3AECBE">
      <w:start w:val="1"/>
      <w:numFmt w:val="lowerLetter"/>
      <w:lvlText w:val="%5"/>
      <w:lvlJc w:val="left"/>
      <w:pPr>
        <w:ind w:left="39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800028A">
      <w:start w:val="1"/>
      <w:numFmt w:val="lowerRoman"/>
      <w:lvlText w:val="%6"/>
      <w:lvlJc w:val="left"/>
      <w:pPr>
        <w:ind w:left="46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71CBEC2">
      <w:start w:val="1"/>
      <w:numFmt w:val="decimal"/>
      <w:lvlText w:val="%7"/>
      <w:lvlJc w:val="left"/>
      <w:pPr>
        <w:ind w:left="54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3C66F2A">
      <w:start w:val="1"/>
      <w:numFmt w:val="lowerLetter"/>
      <w:lvlText w:val="%8"/>
      <w:lvlJc w:val="left"/>
      <w:pPr>
        <w:ind w:left="61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022EA8E">
      <w:start w:val="1"/>
      <w:numFmt w:val="lowerRoman"/>
      <w:lvlText w:val="%9"/>
      <w:lvlJc w:val="left"/>
      <w:pPr>
        <w:ind w:left="68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461007CF"/>
    <w:multiLevelType w:val="hybridMultilevel"/>
    <w:tmpl w:val="4CDAD558"/>
    <w:lvl w:ilvl="0" w:tplc="04090001">
      <w:start w:val="1"/>
      <w:numFmt w:val="bullet"/>
      <w:lvlText w:val=""/>
      <w:lvlJc w:val="left"/>
      <w:pPr>
        <w:ind w:left="450" w:hanging="360"/>
      </w:pPr>
      <w:rPr>
        <w:rFonts w:ascii="Symbol" w:hAnsi="Symbol" w:hint="default"/>
        <w:sz w:val="20"/>
        <w:szCs w:val="20"/>
      </w:rPr>
    </w:lvl>
    <w:lvl w:ilvl="1" w:tplc="04090003">
      <w:start w:val="1"/>
      <w:numFmt w:val="bullet"/>
      <w:lvlText w:val="o"/>
      <w:lvlJc w:val="left"/>
      <w:pPr>
        <w:ind w:left="1343" w:hanging="360"/>
      </w:pPr>
      <w:rPr>
        <w:rFonts w:ascii="Courier New" w:hAnsi="Courier New" w:cs="Courier New" w:hint="default"/>
      </w:rPr>
    </w:lvl>
    <w:lvl w:ilvl="2" w:tplc="04090005">
      <w:start w:val="1"/>
      <w:numFmt w:val="bullet"/>
      <w:lvlText w:val=""/>
      <w:lvlJc w:val="left"/>
      <w:pPr>
        <w:ind w:left="2063" w:hanging="360"/>
      </w:pPr>
      <w:rPr>
        <w:rFonts w:ascii="Wingdings" w:hAnsi="Wingdings" w:hint="default"/>
      </w:rPr>
    </w:lvl>
    <w:lvl w:ilvl="3" w:tplc="04090001">
      <w:start w:val="1"/>
      <w:numFmt w:val="bullet"/>
      <w:lvlText w:val=""/>
      <w:lvlJc w:val="left"/>
      <w:pPr>
        <w:ind w:left="2783" w:hanging="360"/>
      </w:pPr>
      <w:rPr>
        <w:rFonts w:ascii="Symbol" w:hAnsi="Symbol" w:hint="default"/>
      </w:rPr>
    </w:lvl>
    <w:lvl w:ilvl="4" w:tplc="04090003">
      <w:start w:val="1"/>
      <w:numFmt w:val="bullet"/>
      <w:lvlText w:val="o"/>
      <w:lvlJc w:val="left"/>
      <w:pPr>
        <w:ind w:left="3503" w:hanging="360"/>
      </w:pPr>
      <w:rPr>
        <w:rFonts w:ascii="Courier New" w:hAnsi="Courier New" w:cs="Courier New" w:hint="default"/>
      </w:rPr>
    </w:lvl>
    <w:lvl w:ilvl="5" w:tplc="04090005">
      <w:start w:val="1"/>
      <w:numFmt w:val="bullet"/>
      <w:lvlText w:val=""/>
      <w:lvlJc w:val="left"/>
      <w:pPr>
        <w:ind w:left="4223" w:hanging="360"/>
      </w:pPr>
      <w:rPr>
        <w:rFonts w:ascii="Wingdings" w:hAnsi="Wingdings" w:hint="default"/>
      </w:rPr>
    </w:lvl>
    <w:lvl w:ilvl="6" w:tplc="04090001">
      <w:start w:val="1"/>
      <w:numFmt w:val="bullet"/>
      <w:lvlText w:val=""/>
      <w:lvlJc w:val="left"/>
      <w:pPr>
        <w:ind w:left="4943" w:hanging="360"/>
      </w:pPr>
      <w:rPr>
        <w:rFonts w:ascii="Symbol" w:hAnsi="Symbol" w:hint="default"/>
      </w:rPr>
    </w:lvl>
    <w:lvl w:ilvl="7" w:tplc="04090003">
      <w:start w:val="1"/>
      <w:numFmt w:val="bullet"/>
      <w:lvlText w:val="o"/>
      <w:lvlJc w:val="left"/>
      <w:pPr>
        <w:ind w:left="5663" w:hanging="360"/>
      </w:pPr>
      <w:rPr>
        <w:rFonts w:ascii="Courier New" w:hAnsi="Courier New" w:cs="Courier New" w:hint="default"/>
      </w:rPr>
    </w:lvl>
    <w:lvl w:ilvl="8" w:tplc="04090005">
      <w:start w:val="1"/>
      <w:numFmt w:val="bullet"/>
      <w:lvlText w:val=""/>
      <w:lvlJc w:val="left"/>
      <w:pPr>
        <w:ind w:left="6383" w:hanging="360"/>
      </w:pPr>
      <w:rPr>
        <w:rFonts w:ascii="Wingdings" w:hAnsi="Wingdings" w:hint="default"/>
      </w:rPr>
    </w:lvl>
  </w:abstractNum>
  <w:abstractNum w:abstractNumId="35" w15:restartNumberingAfterBreak="0">
    <w:nsid w:val="49B26545"/>
    <w:multiLevelType w:val="hybridMultilevel"/>
    <w:tmpl w:val="CAE2BA42"/>
    <w:lvl w:ilvl="0" w:tplc="04090001">
      <w:start w:val="1"/>
      <w:numFmt w:val="bullet"/>
      <w:lvlText w:val=""/>
      <w:lvlJc w:val="left"/>
      <w:pPr>
        <w:tabs>
          <w:tab w:val="num" w:pos="720"/>
        </w:tabs>
        <w:ind w:left="720" w:hanging="360"/>
      </w:pPr>
      <w:rPr>
        <w:rFonts w:ascii="Symbol" w:hAnsi="Symbol" w:hint="default"/>
      </w:rPr>
    </w:lvl>
    <w:lvl w:ilvl="1" w:tplc="414ED46A">
      <w:start w:val="1"/>
      <w:numFmt w:val="bullet"/>
      <w:lvlText w:val="•"/>
      <w:lvlJc w:val="left"/>
      <w:pPr>
        <w:tabs>
          <w:tab w:val="num" w:pos="1440"/>
        </w:tabs>
        <w:ind w:left="1440" w:hanging="360"/>
      </w:pPr>
      <w:rPr>
        <w:rFonts w:ascii="Arial" w:hAnsi="Arial" w:cs="Times New Roman" w:hint="default"/>
      </w:rPr>
    </w:lvl>
    <w:lvl w:ilvl="2" w:tplc="7B54B844">
      <w:start w:val="1"/>
      <w:numFmt w:val="bullet"/>
      <w:lvlText w:val="•"/>
      <w:lvlJc w:val="left"/>
      <w:pPr>
        <w:tabs>
          <w:tab w:val="num" w:pos="2160"/>
        </w:tabs>
        <w:ind w:left="2160" w:hanging="360"/>
      </w:pPr>
      <w:rPr>
        <w:rFonts w:ascii="Arial" w:hAnsi="Arial" w:cs="Times New Roman" w:hint="default"/>
      </w:rPr>
    </w:lvl>
    <w:lvl w:ilvl="3" w:tplc="9782C33C">
      <w:start w:val="1"/>
      <w:numFmt w:val="bullet"/>
      <w:lvlText w:val="•"/>
      <w:lvlJc w:val="left"/>
      <w:pPr>
        <w:tabs>
          <w:tab w:val="num" w:pos="2880"/>
        </w:tabs>
        <w:ind w:left="2880" w:hanging="360"/>
      </w:pPr>
      <w:rPr>
        <w:rFonts w:ascii="Arial" w:hAnsi="Arial" w:cs="Times New Roman" w:hint="default"/>
      </w:rPr>
    </w:lvl>
    <w:lvl w:ilvl="4" w:tplc="5B961FB0">
      <w:start w:val="1"/>
      <w:numFmt w:val="bullet"/>
      <w:lvlText w:val="•"/>
      <w:lvlJc w:val="left"/>
      <w:pPr>
        <w:tabs>
          <w:tab w:val="num" w:pos="3600"/>
        </w:tabs>
        <w:ind w:left="3600" w:hanging="360"/>
      </w:pPr>
      <w:rPr>
        <w:rFonts w:ascii="Arial" w:hAnsi="Arial" w:cs="Times New Roman" w:hint="default"/>
      </w:rPr>
    </w:lvl>
    <w:lvl w:ilvl="5" w:tplc="1250C374">
      <w:start w:val="1"/>
      <w:numFmt w:val="bullet"/>
      <w:lvlText w:val="•"/>
      <w:lvlJc w:val="left"/>
      <w:pPr>
        <w:tabs>
          <w:tab w:val="num" w:pos="4320"/>
        </w:tabs>
        <w:ind w:left="4320" w:hanging="360"/>
      </w:pPr>
      <w:rPr>
        <w:rFonts w:ascii="Arial" w:hAnsi="Arial" w:cs="Times New Roman" w:hint="default"/>
      </w:rPr>
    </w:lvl>
    <w:lvl w:ilvl="6" w:tplc="D4DC8A4A">
      <w:start w:val="1"/>
      <w:numFmt w:val="bullet"/>
      <w:lvlText w:val="•"/>
      <w:lvlJc w:val="left"/>
      <w:pPr>
        <w:tabs>
          <w:tab w:val="num" w:pos="5040"/>
        </w:tabs>
        <w:ind w:left="5040" w:hanging="360"/>
      </w:pPr>
      <w:rPr>
        <w:rFonts w:ascii="Arial" w:hAnsi="Arial" w:cs="Times New Roman" w:hint="default"/>
      </w:rPr>
    </w:lvl>
    <w:lvl w:ilvl="7" w:tplc="E09A3134">
      <w:start w:val="1"/>
      <w:numFmt w:val="bullet"/>
      <w:lvlText w:val="•"/>
      <w:lvlJc w:val="left"/>
      <w:pPr>
        <w:tabs>
          <w:tab w:val="num" w:pos="5760"/>
        </w:tabs>
        <w:ind w:left="5760" w:hanging="360"/>
      </w:pPr>
      <w:rPr>
        <w:rFonts w:ascii="Arial" w:hAnsi="Arial" w:cs="Times New Roman" w:hint="default"/>
      </w:rPr>
    </w:lvl>
    <w:lvl w:ilvl="8" w:tplc="1E5AD8F4">
      <w:start w:val="1"/>
      <w:numFmt w:val="bullet"/>
      <w:lvlText w:val="•"/>
      <w:lvlJc w:val="left"/>
      <w:pPr>
        <w:tabs>
          <w:tab w:val="num" w:pos="6480"/>
        </w:tabs>
        <w:ind w:left="6480" w:hanging="360"/>
      </w:pPr>
      <w:rPr>
        <w:rFonts w:ascii="Arial" w:hAnsi="Arial" w:cs="Times New Roman" w:hint="default"/>
      </w:rPr>
    </w:lvl>
  </w:abstractNum>
  <w:abstractNum w:abstractNumId="36" w15:restartNumberingAfterBreak="0">
    <w:nsid w:val="4D5C7AA3"/>
    <w:multiLevelType w:val="hybridMultilevel"/>
    <w:tmpl w:val="048244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D5D327C"/>
    <w:multiLevelType w:val="hybridMultilevel"/>
    <w:tmpl w:val="044E678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343" w:hanging="360"/>
      </w:pPr>
      <w:rPr>
        <w:rFonts w:ascii="Courier New" w:hAnsi="Courier New" w:cs="Courier New" w:hint="default"/>
      </w:rPr>
    </w:lvl>
    <w:lvl w:ilvl="2" w:tplc="04090005">
      <w:start w:val="1"/>
      <w:numFmt w:val="bullet"/>
      <w:lvlText w:val=""/>
      <w:lvlJc w:val="left"/>
      <w:pPr>
        <w:ind w:left="2063" w:hanging="360"/>
      </w:pPr>
      <w:rPr>
        <w:rFonts w:ascii="Wingdings" w:hAnsi="Wingdings" w:hint="default"/>
      </w:rPr>
    </w:lvl>
    <w:lvl w:ilvl="3" w:tplc="04090001">
      <w:start w:val="1"/>
      <w:numFmt w:val="bullet"/>
      <w:lvlText w:val=""/>
      <w:lvlJc w:val="left"/>
      <w:pPr>
        <w:ind w:left="2783" w:hanging="360"/>
      </w:pPr>
      <w:rPr>
        <w:rFonts w:ascii="Symbol" w:hAnsi="Symbol" w:hint="default"/>
      </w:rPr>
    </w:lvl>
    <w:lvl w:ilvl="4" w:tplc="04090003">
      <w:start w:val="1"/>
      <w:numFmt w:val="bullet"/>
      <w:lvlText w:val="o"/>
      <w:lvlJc w:val="left"/>
      <w:pPr>
        <w:ind w:left="3503" w:hanging="360"/>
      </w:pPr>
      <w:rPr>
        <w:rFonts w:ascii="Courier New" w:hAnsi="Courier New" w:cs="Courier New" w:hint="default"/>
      </w:rPr>
    </w:lvl>
    <w:lvl w:ilvl="5" w:tplc="04090005">
      <w:start w:val="1"/>
      <w:numFmt w:val="bullet"/>
      <w:lvlText w:val=""/>
      <w:lvlJc w:val="left"/>
      <w:pPr>
        <w:ind w:left="4223" w:hanging="360"/>
      </w:pPr>
      <w:rPr>
        <w:rFonts w:ascii="Wingdings" w:hAnsi="Wingdings" w:hint="default"/>
      </w:rPr>
    </w:lvl>
    <w:lvl w:ilvl="6" w:tplc="04090001">
      <w:start w:val="1"/>
      <w:numFmt w:val="bullet"/>
      <w:lvlText w:val=""/>
      <w:lvlJc w:val="left"/>
      <w:pPr>
        <w:ind w:left="4943" w:hanging="360"/>
      </w:pPr>
      <w:rPr>
        <w:rFonts w:ascii="Symbol" w:hAnsi="Symbol" w:hint="default"/>
      </w:rPr>
    </w:lvl>
    <w:lvl w:ilvl="7" w:tplc="04090003">
      <w:start w:val="1"/>
      <w:numFmt w:val="bullet"/>
      <w:lvlText w:val="o"/>
      <w:lvlJc w:val="left"/>
      <w:pPr>
        <w:ind w:left="5663" w:hanging="360"/>
      </w:pPr>
      <w:rPr>
        <w:rFonts w:ascii="Courier New" w:hAnsi="Courier New" w:cs="Courier New" w:hint="default"/>
      </w:rPr>
    </w:lvl>
    <w:lvl w:ilvl="8" w:tplc="04090005">
      <w:start w:val="1"/>
      <w:numFmt w:val="bullet"/>
      <w:lvlText w:val=""/>
      <w:lvlJc w:val="left"/>
      <w:pPr>
        <w:ind w:left="6383" w:hanging="360"/>
      </w:pPr>
      <w:rPr>
        <w:rFonts w:ascii="Wingdings" w:hAnsi="Wingdings" w:hint="default"/>
      </w:rPr>
    </w:lvl>
  </w:abstractNum>
  <w:abstractNum w:abstractNumId="38" w15:restartNumberingAfterBreak="0">
    <w:nsid w:val="4DA03ACC"/>
    <w:multiLevelType w:val="hybridMultilevel"/>
    <w:tmpl w:val="C0CE2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0812053"/>
    <w:multiLevelType w:val="hybridMultilevel"/>
    <w:tmpl w:val="D78009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15:restartNumberingAfterBreak="0">
    <w:nsid w:val="51526A6C"/>
    <w:multiLevelType w:val="hybridMultilevel"/>
    <w:tmpl w:val="20CEE3B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1" w15:restartNumberingAfterBreak="0">
    <w:nsid w:val="53204997"/>
    <w:multiLevelType w:val="hybridMultilevel"/>
    <w:tmpl w:val="0C80DB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3E11625"/>
    <w:multiLevelType w:val="multilevel"/>
    <w:tmpl w:val="97144874"/>
    <w:lvl w:ilvl="0">
      <w:start w:val="1"/>
      <w:numFmt w:val="lowerLetter"/>
      <w:lvlText w:val="%1."/>
      <w:lvlJc w:val="left"/>
      <w:pPr>
        <w:ind w:left="1080" w:firstLine="360"/>
      </w:pPr>
      <w:rPr>
        <w:u w:val="none"/>
      </w:rPr>
    </w:lvl>
    <w:lvl w:ilvl="1">
      <w:start w:val="1"/>
      <w:numFmt w:val="lowerRoman"/>
      <w:lvlText w:val="%2."/>
      <w:lvlJc w:val="right"/>
      <w:pPr>
        <w:ind w:left="1800" w:firstLine="1080"/>
      </w:pPr>
      <w:rPr>
        <w:u w:val="none"/>
      </w:rPr>
    </w:lvl>
    <w:lvl w:ilvl="2">
      <w:start w:val="1"/>
      <w:numFmt w:val="decimal"/>
      <w:lvlText w:val="%3."/>
      <w:lvlJc w:val="left"/>
      <w:pPr>
        <w:ind w:left="2520" w:firstLine="1800"/>
      </w:pPr>
      <w:rPr>
        <w:u w:val="none"/>
      </w:rPr>
    </w:lvl>
    <w:lvl w:ilvl="3">
      <w:start w:val="1"/>
      <w:numFmt w:val="lowerLetter"/>
      <w:lvlText w:val="%4."/>
      <w:lvlJc w:val="left"/>
      <w:pPr>
        <w:ind w:left="3240" w:firstLine="2520"/>
      </w:pPr>
      <w:rPr>
        <w:u w:val="none"/>
      </w:rPr>
    </w:lvl>
    <w:lvl w:ilvl="4">
      <w:start w:val="1"/>
      <w:numFmt w:val="lowerRoman"/>
      <w:lvlText w:val="%5."/>
      <w:lvlJc w:val="right"/>
      <w:pPr>
        <w:ind w:left="3960" w:firstLine="3240"/>
      </w:pPr>
      <w:rPr>
        <w:u w:val="none"/>
      </w:rPr>
    </w:lvl>
    <w:lvl w:ilvl="5">
      <w:start w:val="1"/>
      <w:numFmt w:val="decimal"/>
      <w:lvlText w:val="%6."/>
      <w:lvlJc w:val="left"/>
      <w:pPr>
        <w:ind w:left="4680" w:firstLine="3960"/>
      </w:pPr>
      <w:rPr>
        <w:u w:val="none"/>
      </w:rPr>
    </w:lvl>
    <w:lvl w:ilvl="6">
      <w:start w:val="1"/>
      <w:numFmt w:val="lowerLetter"/>
      <w:lvlText w:val="%7."/>
      <w:lvlJc w:val="left"/>
      <w:pPr>
        <w:ind w:left="5400" w:firstLine="4680"/>
      </w:pPr>
      <w:rPr>
        <w:u w:val="none"/>
      </w:rPr>
    </w:lvl>
    <w:lvl w:ilvl="7">
      <w:start w:val="1"/>
      <w:numFmt w:val="lowerRoman"/>
      <w:lvlText w:val="%8."/>
      <w:lvlJc w:val="right"/>
      <w:pPr>
        <w:ind w:left="6120" w:firstLine="5400"/>
      </w:pPr>
      <w:rPr>
        <w:u w:val="none"/>
      </w:rPr>
    </w:lvl>
    <w:lvl w:ilvl="8">
      <w:start w:val="1"/>
      <w:numFmt w:val="decimal"/>
      <w:lvlText w:val="%9."/>
      <w:lvlJc w:val="left"/>
      <w:pPr>
        <w:ind w:left="6840" w:firstLine="6120"/>
      </w:pPr>
      <w:rPr>
        <w:u w:val="none"/>
      </w:rPr>
    </w:lvl>
  </w:abstractNum>
  <w:abstractNum w:abstractNumId="43" w15:restartNumberingAfterBreak="0">
    <w:nsid w:val="54AB6676"/>
    <w:multiLevelType w:val="hybridMultilevel"/>
    <w:tmpl w:val="F8B4A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6E13DBA"/>
    <w:multiLevelType w:val="hybridMultilevel"/>
    <w:tmpl w:val="DBA87B58"/>
    <w:lvl w:ilvl="0" w:tplc="57BC33B2">
      <w:start w:val="1"/>
      <w:numFmt w:val="upp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843192"/>
    <w:multiLevelType w:val="hybridMultilevel"/>
    <w:tmpl w:val="6478C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0265BD"/>
    <w:multiLevelType w:val="hybridMultilevel"/>
    <w:tmpl w:val="8AB26B6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7" w15:restartNumberingAfterBreak="0">
    <w:nsid w:val="5A0C4662"/>
    <w:multiLevelType w:val="hybridMultilevel"/>
    <w:tmpl w:val="AF48FDFE"/>
    <w:lvl w:ilvl="0" w:tplc="B010D960">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AEB3151"/>
    <w:multiLevelType w:val="hybridMultilevel"/>
    <w:tmpl w:val="64046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2B399D"/>
    <w:multiLevelType w:val="hybridMultilevel"/>
    <w:tmpl w:val="EC9CD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C336052"/>
    <w:multiLevelType w:val="multilevel"/>
    <w:tmpl w:val="40D83422"/>
    <w:lvl w:ilvl="0">
      <w:start w:val="1"/>
      <w:numFmt w:val="decimal"/>
      <w:lvlText w:val="%1."/>
      <w:lvlJc w:val="left"/>
      <w:pPr>
        <w:ind w:left="360" w:firstLine="720"/>
      </w:pPr>
      <w:rPr>
        <w:color w:val="auto"/>
      </w:r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7200" w:firstLine="7200"/>
      </w:pPr>
      <w:rPr>
        <w:b/>
      </w:r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51" w15:restartNumberingAfterBreak="0">
    <w:nsid w:val="634B10A6"/>
    <w:multiLevelType w:val="hybridMultilevel"/>
    <w:tmpl w:val="7BE2ED1A"/>
    <w:lvl w:ilvl="0" w:tplc="855CB2DE">
      <w:start w:val="1"/>
      <w:numFmt w:val="decimal"/>
      <w:lvlText w:val="%1."/>
      <w:lvlJc w:val="left"/>
      <w:pPr>
        <w:ind w:left="90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49A33E6"/>
    <w:multiLevelType w:val="hybridMultilevel"/>
    <w:tmpl w:val="9454D8F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3" w15:restartNumberingAfterBreak="0">
    <w:nsid w:val="66ED6FF9"/>
    <w:multiLevelType w:val="hybridMultilevel"/>
    <w:tmpl w:val="F4109C9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54" w15:restartNumberingAfterBreak="0">
    <w:nsid w:val="6A4B201A"/>
    <w:multiLevelType w:val="hybridMultilevel"/>
    <w:tmpl w:val="966C28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5" w15:restartNumberingAfterBreak="0">
    <w:nsid w:val="6F490797"/>
    <w:multiLevelType w:val="hybridMultilevel"/>
    <w:tmpl w:val="B30681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6" w15:restartNumberingAfterBreak="0">
    <w:nsid w:val="711F0DC0"/>
    <w:multiLevelType w:val="hybridMultilevel"/>
    <w:tmpl w:val="59C2D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B41334"/>
    <w:multiLevelType w:val="hybridMultilevel"/>
    <w:tmpl w:val="CF962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7980034C"/>
    <w:multiLevelType w:val="multilevel"/>
    <w:tmpl w:val="91F042D0"/>
    <w:lvl w:ilvl="0">
      <w:start w:val="1"/>
      <w:numFmt w:val="upperLetter"/>
      <w:lvlText w:val="%1."/>
      <w:lvlJc w:val="left"/>
      <w:pPr>
        <w:ind w:left="360" w:firstLine="720"/>
      </w:p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59" w15:restartNumberingAfterBreak="0">
    <w:nsid w:val="7BB40167"/>
    <w:multiLevelType w:val="hybridMultilevel"/>
    <w:tmpl w:val="EF7C2F6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0"/>
  </w:num>
  <w:num w:numId="2">
    <w:abstractNumId w:val="30"/>
  </w:num>
  <w:num w:numId="3">
    <w:abstractNumId w:val="25"/>
  </w:num>
  <w:num w:numId="4">
    <w:abstractNumId w:val="42"/>
  </w:num>
  <w:num w:numId="5">
    <w:abstractNumId w:val="9"/>
  </w:num>
  <w:num w:numId="6">
    <w:abstractNumId w:val="29"/>
  </w:num>
  <w:num w:numId="7">
    <w:abstractNumId w:val="40"/>
  </w:num>
  <w:num w:numId="8">
    <w:abstractNumId w:val="14"/>
  </w:num>
  <w:num w:numId="9">
    <w:abstractNumId w:val="57"/>
  </w:num>
  <w:num w:numId="10">
    <w:abstractNumId w:val="16"/>
  </w:num>
  <w:num w:numId="11">
    <w:abstractNumId w:val="22"/>
  </w:num>
  <w:num w:numId="12">
    <w:abstractNumId w:val="49"/>
  </w:num>
  <w:num w:numId="13">
    <w:abstractNumId w:val="43"/>
  </w:num>
  <w:num w:numId="14">
    <w:abstractNumId w:val="38"/>
  </w:num>
  <w:num w:numId="15">
    <w:abstractNumId w:val="13"/>
  </w:num>
  <w:num w:numId="16">
    <w:abstractNumId w:val="28"/>
  </w:num>
  <w:num w:numId="17">
    <w:abstractNumId w:val="24"/>
  </w:num>
  <w:num w:numId="18">
    <w:abstractNumId w:val="21"/>
  </w:num>
  <w:num w:numId="19">
    <w:abstractNumId w:val="23"/>
  </w:num>
  <w:num w:numId="20">
    <w:abstractNumId w:val="17"/>
  </w:num>
  <w:num w:numId="21">
    <w:abstractNumId w:val="12"/>
  </w:num>
  <w:num w:numId="22">
    <w:abstractNumId w:val="1"/>
  </w:num>
  <w:num w:numId="23">
    <w:abstractNumId w:val="48"/>
  </w:num>
  <w:num w:numId="24">
    <w:abstractNumId w:val="51"/>
  </w:num>
  <w:num w:numId="25">
    <w:abstractNumId w:val="18"/>
  </w:num>
  <w:num w:numId="26">
    <w:abstractNumId w:val="56"/>
  </w:num>
  <w:num w:numId="27">
    <w:abstractNumId w:val="36"/>
  </w:num>
  <w:num w:numId="28">
    <w:abstractNumId w:val="8"/>
  </w:num>
  <w:num w:numId="29">
    <w:abstractNumId w:val="4"/>
  </w:num>
  <w:num w:numId="30">
    <w:abstractNumId w:val="31"/>
  </w:num>
  <w:num w:numId="31">
    <w:abstractNumId w:val="58"/>
  </w:num>
  <w:num w:numId="32">
    <w:abstractNumId w:val="47"/>
  </w:num>
  <w:num w:numId="33">
    <w:abstractNumId w:val="41"/>
  </w:num>
  <w:num w:numId="34">
    <w:abstractNumId w:val="6"/>
  </w:num>
  <w:num w:numId="35">
    <w:abstractNumId w:val="44"/>
  </w:num>
  <w:num w:numId="36">
    <w:abstractNumId w:val="33"/>
  </w:num>
  <w:num w:numId="37">
    <w:abstractNumId w:val="35"/>
  </w:num>
  <w:num w:numId="38">
    <w:abstractNumId w:val="5"/>
  </w:num>
  <w:num w:numId="39">
    <w:abstractNumId w:val="37"/>
  </w:num>
  <w:num w:numId="40">
    <w:abstractNumId w:val="3"/>
  </w:num>
  <w:num w:numId="41">
    <w:abstractNumId w:val="53"/>
  </w:num>
  <w:num w:numId="42">
    <w:abstractNumId w:val="20"/>
  </w:num>
  <w:num w:numId="43">
    <w:abstractNumId w:val="34"/>
  </w:num>
  <w:num w:numId="44">
    <w:abstractNumId w:val="7"/>
  </w:num>
  <w:num w:numId="45">
    <w:abstractNumId w:val="32"/>
  </w:num>
  <w:num w:numId="46">
    <w:abstractNumId w:val="39"/>
  </w:num>
  <w:num w:numId="47">
    <w:abstractNumId w:val="27"/>
  </w:num>
  <w:num w:numId="48">
    <w:abstractNumId w:val="19"/>
  </w:num>
  <w:num w:numId="49">
    <w:abstractNumId w:val="45"/>
  </w:num>
  <w:num w:numId="50">
    <w:abstractNumId w:val="55"/>
  </w:num>
  <w:num w:numId="51">
    <w:abstractNumId w:val="46"/>
  </w:num>
  <w:num w:numId="52">
    <w:abstractNumId w:val="52"/>
  </w:num>
  <w:num w:numId="53">
    <w:abstractNumId w:val="59"/>
  </w:num>
  <w:num w:numId="54">
    <w:abstractNumId w:val="54"/>
  </w:num>
  <w:num w:numId="55">
    <w:abstractNumId w:val="2"/>
  </w:num>
  <w:num w:numId="56">
    <w:abstractNumId w:val="15"/>
  </w:num>
  <w:num w:numId="57">
    <w:abstractNumId w:val="26"/>
  </w:num>
  <w:num w:numId="58">
    <w:abstractNumId w:val="11"/>
  </w:num>
  <w:num w:numId="59">
    <w:abstractNumId w:val="10"/>
  </w:num>
  <w:num w:numId="60">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E9"/>
    <w:rsid w:val="00000346"/>
    <w:rsid w:val="000011BC"/>
    <w:rsid w:val="000029F4"/>
    <w:rsid w:val="00004419"/>
    <w:rsid w:val="0000458C"/>
    <w:rsid w:val="00005CDE"/>
    <w:rsid w:val="00005F18"/>
    <w:rsid w:val="00006548"/>
    <w:rsid w:val="00006CBF"/>
    <w:rsid w:val="00006CF8"/>
    <w:rsid w:val="00006E19"/>
    <w:rsid w:val="0001407B"/>
    <w:rsid w:val="00014782"/>
    <w:rsid w:val="0001487F"/>
    <w:rsid w:val="00014E9D"/>
    <w:rsid w:val="00015078"/>
    <w:rsid w:val="00017495"/>
    <w:rsid w:val="00020DF0"/>
    <w:rsid w:val="00021573"/>
    <w:rsid w:val="00021A3F"/>
    <w:rsid w:val="00021C27"/>
    <w:rsid w:val="00021CBD"/>
    <w:rsid w:val="000243F5"/>
    <w:rsid w:val="00024772"/>
    <w:rsid w:val="00030AAB"/>
    <w:rsid w:val="00031808"/>
    <w:rsid w:val="00031886"/>
    <w:rsid w:val="000327AC"/>
    <w:rsid w:val="00032D3F"/>
    <w:rsid w:val="00033896"/>
    <w:rsid w:val="00034FC1"/>
    <w:rsid w:val="000367CA"/>
    <w:rsid w:val="00036961"/>
    <w:rsid w:val="0004020A"/>
    <w:rsid w:val="00040A05"/>
    <w:rsid w:val="00043B34"/>
    <w:rsid w:val="0004488F"/>
    <w:rsid w:val="00044A81"/>
    <w:rsid w:val="000450FA"/>
    <w:rsid w:val="00045AA3"/>
    <w:rsid w:val="00046D3C"/>
    <w:rsid w:val="00047254"/>
    <w:rsid w:val="00047950"/>
    <w:rsid w:val="0005001B"/>
    <w:rsid w:val="000506BB"/>
    <w:rsid w:val="000509EB"/>
    <w:rsid w:val="00051C3E"/>
    <w:rsid w:val="000520AB"/>
    <w:rsid w:val="00052531"/>
    <w:rsid w:val="0005366F"/>
    <w:rsid w:val="00053C8A"/>
    <w:rsid w:val="00053EE1"/>
    <w:rsid w:val="00053F8D"/>
    <w:rsid w:val="00054503"/>
    <w:rsid w:val="00055B55"/>
    <w:rsid w:val="00056392"/>
    <w:rsid w:val="000565FA"/>
    <w:rsid w:val="000576E6"/>
    <w:rsid w:val="00060499"/>
    <w:rsid w:val="00060BE2"/>
    <w:rsid w:val="00061275"/>
    <w:rsid w:val="0006398D"/>
    <w:rsid w:val="00065A49"/>
    <w:rsid w:val="0007102F"/>
    <w:rsid w:val="000723F5"/>
    <w:rsid w:val="00072AC2"/>
    <w:rsid w:val="00073ABF"/>
    <w:rsid w:val="00075ABF"/>
    <w:rsid w:val="000766DD"/>
    <w:rsid w:val="00076773"/>
    <w:rsid w:val="00077F36"/>
    <w:rsid w:val="00081538"/>
    <w:rsid w:val="00082329"/>
    <w:rsid w:val="00082AF0"/>
    <w:rsid w:val="00086611"/>
    <w:rsid w:val="00086B35"/>
    <w:rsid w:val="00092A85"/>
    <w:rsid w:val="000943C6"/>
    <w:rsid w:val="000976DF"/>
    <w:rsid w:val="000A027A"/>
    <w:rsid w:val="000A03F9"/>
    <w:rsid w:val="000A1295"/>
    <w:rsid w:val="000A2223"/>
    <w:rsid w:val="000A2E4F"/>
    <w:rsid w:val="000A3140"/>
    <w:rsid w:val="000A3685"/>
    <w:rsid w:val="000A573F"/>
    <w:rsid w:val="000A6910"/>
    <w:rsid w:val="000B21AC"/>
    <w:rsid w:val="000B318D"/>
    <w:rsid w:val="000B441F"/>
    <w:rsid w:val="000B4458"/>
    <w:rsid w:val="000B472F"/>
    <w:rsid w:val="000B63EF"/>
    <w:rsid w:val="000B6A2E"/>
    <w:rsid w:val="000B74E2"/>
    <w:rsid w:val="000B78F4"/>
    <w:rsid w:val="000C111C"/>
    <w:rsid w:val="000C12F1"/>
    <w:rsid w:val="000C1764"/>
    <w:rsid w:val="000C1971"/>
    <w:rsid w:val="000C23EA"/>
    <w:rsid w:val="000C2F2C"/>
    <w:rsid w:val="000C3672"/>
    <w:rsid w:val="000C41BA"/>
    <w:rsid w:val="000C737F"/>
    <w:rsid w:val="000D3A8C"/>
    <w:rsid w:val="000D45ED"/>
    <w:rsid w:val="000D4B9A"/>
    <w:rsid w:val="000D5AD5"/>
    <w:rsid w:val="000D6D03"/>
    <w:rsid w:val="000D769B"/>
    <w:rsid w:val="000E0C12"/>
    <w:rsid w:val="000E2A62"/>
    <w:rsid w:val="000E3E99"/>
    <w:rsid w:val="000E555E"/>
    <w:rsid w:val="000E5BB8"/>
    <w:rsid w:val="000E6198"/>
    <w:rsid w:val="000E6F36"/>
    <w:rsid w:val="000E6FA9"/>
    <w:rsid w:val="000F1FDA"/>
    <w:rsid w:val="000F2F8C"/>
    <w:rsid w:val="000F3F5F"/>
    <w:rsid w:val="000F4AD0"/>
    <w:rsid w:val="00100BFA"/>
    <w:rsid w:val="00103C27"/>
    <w:rsid w:val="00105C60"/>
    <w:rsid w:val="00105D85"/>
    <w:rsid w:val="00107E24"/>
    <w:rsid w:val="001105F3"/>
    <w:rsid w:val="00110B90"/>
    <w:rsid w:val="00111B87"/>
    <w:rsid w:val="0011310B"/>
    <w:rsid w:val="00113143"/>
    <w:rsid w:val="00116ADB"/>
    <w:rsid w:val="00117696"/>
    <w:rsid w:val="00120F90"/>
    <w:rsid w:val="00121A0B"/>
    <w:rsid w:val="00122653"/>
    <w:rsid w:val="00123372"/>
    <w:rsid w:val="00123ED6"/>
    <w:rsid w:val="00124173"/>
    <w:rsid w:val="00125225"/>
    <w:rsid w:val="001260EF"/>
    <w:rsid w:val="0013081A"/>
    <w:rsid w:val="00130BEF"/>
    <w:rsid w:val="00131F9B"/>
    <w:rsid w:val="00134077"/>
    <w:rsid w:val="001342B8"/>
    <w:rsid w:val="001363A3"/>
    <w:rsid w:val="00137612"/>
    <w:rsid w:val="00144375"/>
    <w:rsid w:val="00145239"/>
    <w:rsid w:val="001455B2"/>
    <w:rsid w:val="001466DC"/>
    <w:rsid w:val="00150316"/>
    <w:rsid w:val="001520B5"/>
    <w:rsid w:val="00152764"/>
    <w:rsid w:val="0015289E"/>
    <w:rsid w:val="001536A0"/>
    <w:rsid w:val="00153C91"/>
    <w:rsid w:val="00154B8D"/>
    <w:rsid w:val="00155AD4"/>
    <w:rsid w:val="00155C7D"/>
    <w:rsid w:val="00156714"/>
    <w:rsid w:val="00156C8C"/>
    <w:rsid w:val="00157EC2"/>
    <w:rsid w:val="0016087E"/>
    <w:rsid w:val="001611DA"/>
    <w:rsid w:val="00162C01"/>
    <w:rsid w:val="00163395"/>
    <w:rsid w:val="00164248"/>
    <w:rsid w:val="00164BD9"/>
    <w:rsid w:val="001652D1"/>
    <w:rsid w:val="001659DE"/>
    <w:rsid w:val="00165B22"/>
    <w:rsid w:val="00170ADA"/>
    <w:rsid w:val="001713F0"/>
    <w:rsid w:val="00171A47"/>
    <w:rsid w:val="00171C45"/>
    <w:rsid w:val="00172609"/>
    <w:rsid w:val="00173257"/>
    <w:rsid w:val="001735D0"/>
    <w:rsid w:val="00175976"/>
    <w:rsid w:val="00175D35"/>
    <w:rsid w:val="001762C2"/>
    <w:rsid w:val="00176844"/>
    <w:rsid w:val="00176941"/>
    <w:rsid w:val="00177D10"/>
    <w:rsid w:val="00180683"/>
    <w:rsid w:val="001806F9"/>
    <w:rsid w:val="00180F37"/>
    <w:rsid w:val="00182064"/>
    <w:rsid w:val="00184303"/>
    <w:rsid w:val="00184A69"/>
    <w:rsid w:val="0018534E"/>
    <w:rsid w:val="00185BE6"/>
    <w:rsid w:val="00186C01"/>
    <w:rsid w:val="00187048"/>
    <w:rsid w:val="00187832"/>
    <w:rsid w:val="001974D9"/>
    <w:rsid w:val="001A0110"/>
    <w:rsid w:val="001A038D"/>
    <w:rsid w:val="001A13A5"/>
    <w:rsid w:val="001A1D9E"/>
    <w:rsid w:val="001A545C"/>
    <w:rsid w:val="001A5E8E"/>
    <w:rsid w:val="001A60A9"/>
    <w:rsid w:val="001A61EF"/>
    <w:rsid w:val="001A7635"/>
    <w:rsid w:val="001A7D52"/>
    <w:rsid w:val="001B08F2"/>
    <w:rsid w:val="001B09CD"/>
    <w:rsid w:val="001B0D1E"/>
    <w:rsid w:val="001B1092"/>
    <w:rsid w:val="001B2167"/>
    <w:rsid w:val="001B4D28"/>
    <w:rsid w:val="001B5D4E"/>
    <w:rsid w:val="001B6266"/>
    <w:rsid w:val="001B64FF"/>
    <w:rsid w:val="001B761C"/>
    <w:rsid w:val="001B7D25"/>
    <w:rsid w:val="001C0EE0"/>
    <w:rsid w:val="001C156F"/>
    <w:rsid w:val="001C193C"/>
    <w:rsid w:val="001C2B00"/>
    <w:rsid w:val="001C4B14"/>
    <w:rsid w:val="001C4FC3"/>
    <w:rsid w:val="001C5ED6"/>
    <w:rsid w:val="001C61B4"/>
    <w:rsid w:val="001C6EAE"/>
    <w:rsid w:val="001C6F29"/>
    <w:rsid w:val="001D041C"/>
    <w:rsid w:val="001D25D5"/>
    <w:rsid w:val="001D2694"/>
    <w:rsid w:val="001D575A"/>
    <w:rsid w:val="001D6010"/>
    <w:rsid w:val="001D60A6"/>
    <w:rsid w:val="001E0704"/>
    <w:rsid w:val="001E3057"/>
    <w:rsid w:val="001E3068"/>
    <w:rsid w:val="001E37CB"/>
    <w:rsid w:val="001E4CD2"/>
    <w:rsid w:val="001E6EF5"/>
    <w:rsid w:val="001E708D"/>
    <w:rsid w:val="001F100E"/>
    <w:rsid w:val="001F3D59"/>
    <w:rsid w:val="001F3EAE"/>
    <w:rsid w:val="001F4971"/>
    <w:rsid w:val="001F59F6"/>
    <w:rsid w:val="001F682F"/>
    <w:rsid w:val="001F7A60"/>
    <w:rsid w:val="00203ED9"/>
    <w:rsid w:val="002068C2"/>
    <w:rsid w:val="00211A99"/>
    <w:rsid w:val="00211CE7"/>
    <w:rsid w:val="00214195"/>
    <w:rsid w:val="00215221"/>
    <w:rsid w:val="0021585F"/>
    <w:rsid w:val="00215DF2"/>
    <w:rsid w:val="002175CD"/>
    <w:rsid w:val="00220F61"/>
    <w:rsid w:val="00221688"/>
    <w:rsid w:val="00222E58"/>
    <w:rsid w:val="00223F38"/>
    <w:rsid w:val="00223F71"/>
    <w:rsid w:val="00225687"/>
    <w:rsid w:val="00225C5A"/>
    <w:rsid w:val="00225F6C"/>
    <w:rsid w:val="00227521"/>
    <w:rsid w:val="00227C49"/>
    <w:rsid w:val="0023058F"/>
    <w:rsid w:val="0023177D"/>
    <w:rsid w:val="002318B4"/>
    <w:rsid w:val="002333C4"/>
    <w:rsid w:val="002400F9"/>
    <w:rsid w:val="002401CB"/>
    <w:rsid w:val="00241348"/>
    <w:rsid w:val="002419B0"/>
    <w:rsid w:val="00243997"/>
    <w:rsid w:val="00243B2E"/>
    <w:rsid w:val="002448F9"/>
    <w:rsid w:val="00244BBA"/>
    <w:rsid w:val="00247856"/>
    <w:rsid w:val="00251AAE"/>
    <w:rsid w:val="00251C3C"/>
    <w:rsid w:val="00252BE4"/>
    <w:rsid w:val="00255356"/>
    <w:rsid w:val="00255B8A"/>
    <w:rsid w:val="00257902"/>
    <w:rsid w:val="00260388"/>
    <w:rsid w:val="00260AEA"/>
    <w:rsid w:val="00262A7D"/>
    <w:rsid w:val="00263FA7"/>
    <w:rsid w:val="0026772D"/>
    <w:rsid w:val="0027095F"/>
    <w:rsid w:val="002718F5"/>
    <w:rsid w:val="0027266D"/>
    <w:rsid w:val="00272B90"/>
    <w:rsid w:val="00274656"/>
    <w:rsid w:val="0027500D"/>
    <w:rsid w:val="00275A6D"/>
    <w:rsid w:val="002772E1"/>
    <w:rsid w:val="00277A00"/>
    <w:rsid w:val="00280F3D"/>
    <w:rsid w:val="00282A2B"/>
    <w:rsid w:val="00283533"/>
    <w:rsid w:val="002837D0"/>
    <w:rsid w:val="002842C7"/>
    <w:rsid w:val="00284B18"/>
    <w:rsid w:val="00290411"/>
    <w:rsid w:val="00291C64"/>
    <w:rsid w:val="00293E74"/>
    <w:rsid w:val="00294A91"/>
    <w:rsid w:val="00295161"/>
    <w:rsid w:val="00296965"/>
    <w:rsid w:val="00297EC4"/>
    <w:rsid w:val="002A16D1"/>
    <w:rsid w:val="002A27BF"/>
    <w:rsid w:val="002A2AE2"/>
    <w:rsid w:val="002A36F3"/>
    <w:rsid w:val="002A383B"/>
    <w:rsid w:val="002A690C"/>
    <w:rsid w:val="002A7173"/>
    <w:rsid w:val="002A7B24"/>
    <w:rsid w:val="002A7C83"/>
    <w:rsid w:val="002A7FD3"/>
    <w:rsid w:val="002B1E99"/>
    <w:rsid w:val="002B234C"/>
    <w:rsid w:val="002B48DC"/>
    <w:rsid w:val="002B572C"/>
    <w:rsid w:val="002B6509"/>
    <w:rsid w:val="002B6949"/>
    <w:rsid w:val="002C05D6"/>
    <w:rsid w:val="002C0C59"/>
    <w:rsid w:val="002C1304"/>
    <w:rsid w:val="002C15FE"/>
    <w:rsid w:val="002C218A"/>
    <w:rsid w:val="002C21BA"/>
    <w:rsid w:val="002C354B"/>
    <w:rsid w:val="002C3622"/>
    <w:rsid w:val="002C4B90"/>
    <w:rsid w:val="002C5585"/>
    <w:rsid w:val="002D0991"/>
    <w:rsid w:val="002D3375"/>
    <w:rsid w:val="002D5BBD"/>
    <w:rsid w:val="002E0665"/>
    <w:rsid w:val="002E0778"/>
    <w:rsid w:val="002E19B9"/>
    <w:rsid w:val="002E4112"/>
    <w:rsid w:val="002E5E74"/>
    <w:rsid w:val="002E773D"/>
    <w:rsid w:val="002E7C80"/>
    <w:rsid w:val="002F1391"/>
    <w:rsid w:val="002F3D1B"/>
    <w:rsid w:val="002F4BA1"/>
    <w:rsid w:val="002F5913"/>
    <w:rsid w:val="002F5ECD"/>
    <w:rsid w:val="002F5FF7"/>
    <w:rsid w:val="002F6909"/>
    <w:rsid w:val="002F6CFA"/>
    <w:rsid w:val="00300B0D"/>
    <w:rsid w:val="00301891"/>
    <w:rsid w:val="003034A4"/>
    <w:rsid w:val="003035A8"/>
    <w:rsid w:val="00303A94"/>
    <w:rsid w:val="003040A4"/>
    <w:rsid w:val="0031258A"/>
    <w:rsid w:val="00313354"/>
    <w:rsid w:val="003134FF"/>
    <w:rsid w:val="00313686"/>
    <w:rsid w:val="00313BFD"/>
    <w:rsid w:val="003141F4"/>
    <w:rsid w:val="00314531"/>
    <w:rsid w:val="0031454B"/>
    <w:rsid w:val="003145CF"/>
    <w:rsid w:val="00314BC1"/>
    <w:rsid w:val="003151DE"/>
    <w:rsid w:val="00322311"/>
    <w:rsid w:val="0032282D"/>
    <w:rsid w:val="003235D5"/>
    <w:rsid w:val="00325FFC"/>
    <w:rsid w:val="0032697A"/>
    <w:rsid w:val="003272F4"/>
    <w:rsid w:val="003304B4"/>
    <w:rsid w:val="003326B8"/>
    <w:rsid w:val="00332BB4"/>
    <w:rsid w:val="00332ED1"/>
    <w:rsid w:val="00333605"/>
    <w:rsid w:val="00333A73"/>
    <w:rsid w:val="0033404D"/>
    <w:rsid w:val="003351DF"/>
    <w:rsid w:val="003356F7"/>
    <w:rsid w:val="00335ADD"/>
    <w:rsid w:val="00336120"/>
    <w:rsid w:val="00340A5B"/>
    <w:rsid w:val="00340F50"/>
    <w:rsid w:val="003420B4"/>
    <w:rsid w:val="0034349A"/>
    <w:rsid w:val="00346337"/>
    <w:rsid w:val="00350630"/>
    <w:rsid w:val="0035151E"/>
    <w:rsid w:val="003523C7"/>
    <w:rsid w:val="00355131"/>
    <w:rsid w:val="003558D7"/>
    <w:rsid w:val="00356839"/>
    <w:rsid w:val="003578C7"/>
    <w:rsid w:val="00360315"/>
    <w:rsid w:val="0036044F"/>
    <w:rsid w:val="003627C5"/>
    <w:rsid w:val="00363DE3"/>
    <w:rsid w:val="00365EB8"/>
    <w:rsid w:val="003676B5"/>
    <w:rsid w:val="0037171C"/>
    <w:rsid w:val="00371E20"/>
    <w:rsid w:val="003753BF"/>
    <w:rsid w:val="003754DE"/>
    <w:rsid w:val="0037635F"/>
    <w:rsid w:val="0037734D"/>
    <w:rsid w:val="0038041B"/>
    <w:rsid w:val="00381833"/>
    <w:rsid w:val="00384943"/>
    <w:rsid w:val="00384EED"/>
    <w:rsid w:val="003854DC"/>
    <w:rsid w:val="00385864"/>
    <w:rsid w:val="0038685E"/>
    <w:rsid w:val="00386D42"/>
    <w:rsid w:val="00387893"/>
    <w:rsid w:val="003918EC"/>
    <w:rsid w:val="00396DAF"/>
    <w:rsid w:val="003973CE"/>
    <w:rsid w:val="003A13D1"/>
    <w:rsid w:val="003A1B90"/>
    <w:rsid w:val="003A1DBC"/>
    <w:rsid w:val="003A2467"/>
    <w:rsid w:val="003A2FCE"/>
    <w:rsid w:val="003A3619"/>
    <w:rsid w:val="003A6E76"/>
    <w:rsid w:val="003B0280"/>
    <w:rsid w:val="003B0EE2"/>
    <w:rsid w:val="003B3980"/>
    <w:rsid w:val="003B65DF"/>
    <w:rsid w:val="003B7CC8"/>
    <w:rsid w:val="003C0547"/>
    <w:rsid w:val="003C0A06"/>
    <w:rsid w:val="003C0C30"/>
    <w:rsid w:val="003C702B"/>
    <w:rsid w:val="003D0D7D"/>
    <w:rsid w:val="003D0E96"/>
    <w:rsid w:val="003D0F5F"/>
    <w:rsid w:val="003D16DD"/>
    <w:rsid w:val="003D2C0C"/>
    <w:rsid w:val="003D3C2D"/>
    <w:rsid w:val="003D3D41"/>
    <w:rsid w:val="003D6D28"/>
    <w:rsid w:val="003D7C9B"/>
    <w:rsid w:val="003E3CEF"/>
    <w:rsid w:val="003E5639"/>
    <w:rsid w:val="003E59A5"/>
    <w:rsid w:val="003E615E"/>
    <w:rsid w:val="003E6529"/>
    <w:rsid w:val="003F0417"/>
    <w:rsid w:val="003F18DD"/>
    <w:rsid w:val="003F1A96"/>
    <w:rsid w:val="003F2228"/>
    <w:rsid w:val="003F4FB4"/>
    <w:rsid w:val="003F535D"/>
    <w:rsid w:val="003F55BA"/>
    <w:rsid w:val="003F5C43"/>
    <w:rsid w:val="003F67EA"/>
    <w:rsid w:val="00400E4B"/>
    <w:rsid w:val="00401FA9"/>
    <w:rsid w:val="004024FC"/>
    <w:rsid w:val="00402526"/>
    <w:rsid w:val="0040361C"/>
    <w:rsid w:val="0040440B"/>
    <w:rsid w:val="0040490E"/>
    <w:rsid w:val="0040496C"/>
    <w:rsid w:val="004049CB"/>
    <w:rsid w:val="00405017"/>
    <w:rsid w:val="00405CF0"/>
    <w:rsid w:val="00406AA0"/>
    <w:rsid w:val="0040711A"/>
    <w:rsid w:val="004108D7"/>
    <w:rsid w:val="00410DA2"/>
    <w:rsid w:val="0041187D"/>
    <w:rsid w:val="004127B5"/>
    <w:rsid w:val="00412952"/>
    <w:rsid w:val="0041353B"/>
    <w:rsid w:val="00414C97"/>
    <w:rsid w:val="00415200"/>
    <w:rsid w:val="004153E2"/>
    <w:rsid w:val="00415408"/>
    <w:rsid w:val="00415A68"/>
    <w:rsid w:val="004160FF"/>
    <w:rsid w:val="00417020"/>
    <w:rsid w:val="004171D8"/>
    <w:rsid w:val="00420964"/>
    <w:rsid w:val="00420993"/>
    <w:rsid w:val="00420D03"/>
    <w:rsid w:val="00421B00"/>
    <w:rsid w:val="0042437E"/>
    <w:rsid w:val="00426A13"/>
    <w:rsid w:val="00427575"/>
    <w:rsid w:val="00427AFA"/>
    <w:rsid w:val="00430065"/>
    <w:rsid w:val="00430DE9"/>
    <w:rsid w:val="004324A0"/>
    <w:rsid w:val="00433392"/>
    <w:rsid w:val="004340C0"/>
    <w:rsid w:val="00435114"/>
    <w:rsid w:val="0043523C"/>
    <w:rsid w:val="00437919"/>
    <w:rsid w:val="0044094C"/>
    <w:rsid w:val="00443A5A"/>
    <w:rsid w:val="00446759"/>
    <w:rsid w:val="00446E21"/>
    <w:rsid w:val="00451F48"/>
    <w:rsid w:val="00452465"/>
    <w:rsid w:val="00454134"/>
    <w:rsid w:val="004559AD"/>
    <w:rsid w:val="00455BF3"/>
    <w:rsid w:val="004564E3"/>
    <w:rsid w:val="004605F1"/>
    <w:rsid w:val="00461762"/>
    <w:rsid w:val="00461C1A"/>
    <w:rsid w:val="00464EF4"/>
    <w:rsid w:val="0046541D"/>
    <w:rsid w:val="00466F1A"/>
    <w:rsid w:val="00471336"/>
    <w:rsid w:val="00471C8E"/>
    <w:rsid w:val="00472121"/>
    <w:rsid w:val="00474116"/>
    <w:rsid w:val="004741E9"/>
    <w:rsid w:val="00475052"/>
    <w:rsid w:val="00477608"/>
    <w:rsid w:val="00480194"/>
    <w:rsid w:val="00481DF3"/>
    <w:rsid w:val="00482312"/>
    <w:rsid w:val="00482548"/>
    <w:rsid w:val="0048293B"/>
    <w:rsid w:val="004836E6"/>
    <w:rsid w:val="00483853"/>
    <w:rsid w:val="004838A5"/>
    <w:rsid w:val="004838B5"/>
    <w:rsid w:val="0048440F"/>
    <w:rsid w:val="00484A45"/>
    <w:rsid w:val="00484FA8"/>
    <w:rsid w:val="0048686D"/>
    <w:rsid w:val="00487143"/>
    <w:rsid w:val="004875DA"/>
    <w:rsid w:val="00490714"/>
    <w:rsid w:val="00491738"/>
    <w:rsid w:val="00491EF2"/>
    <w:rsid w:val="00493698"/>
    <w:rsid w:val="00493EB9"/>
    <w:rsid w:val="0049570D"/>
    <w:rsid w:val="004A012C"/>
    <w:rsid w:val="004A0A4D"/>
    <w:rsid w:val="004A0D31"/>
    <w:rsid w:val="004A2147"/>
    <w:rsid w:val="004A22E4"/>
    <w:rsid w:val="004A2416"/>
    <w:rsid w:val="004A3359"/>
    <w:rsid w:val="004A3F8F"/>
    <w:rsid w:val="004A604F"/>
    <w:rsid w:val="004B0333"/>
    <w:rsid w:val="004B0C52"/>
    <w:rsid w:val="004B1211"/>
    <w:rsid w:val="004B3A50"/>
    <w:rsid w:val="004B4A52"/>
    <w:rsid w:val="004B51A0"/>
    <w:rsid w:val="004B60D0"/>
    <w:rsid w:val="004B7A86"/>
    <w:rsid w:val="004B7C91"/>
    <w:rsid w:val="004C1DC0"/>
    <w:rsid w:val="004C3429"/>
    <w:rsid w:val="004C3447"/>
    <w:rsid w:val="004C34D7"/>
    <w:rsid w:val="004C491C"/>
    <w:rsid w:val="004C5B51"/>
    <w:rsid w:val="004C7658"/>
    <w:rsid w:val="004C7EF8"/>
    <w:rsid w:val="004D08AA"/>
    <w:rsid w:val="004D0DAC"/>
    <w:rsid w:val="004D3573"/>
    <w:rsid w:val="004D5393"/>
    <w:rsid w:val="004E0BF8"/>
    <w:rsid w:val="004E10E5"/>
    <w:rsid w:val="004E1593"/>
    <w:rsid w:val="004E16E6"/>
    <w:rsid w:val="004E18C1"/>
    <w:rsid w:val="004E3C7B"/>
    <w:rsid w:val="004E46A4"/>
    <w:rsid w:val="004E485F"/>
    <w:rsid w:val="004E5DED"/>
    <w:rsid w:val="004F0079"/>
    <w:rsid w:val="004F0981"/>
    <w:rsid w:val="004F2C4A"/>
    <w:rsid w:val="004F36B4"/>
    <w:rsid w:val="004F5428"/>
    <w:rsid w:val="004F56A1"/>
    <w:rsid w:val="004F64B0"/>
    <w:rsid w:val="004F6D23"/>
    <w:rsid w:val="004F7D72"/>
    <w:rsid w:val="00500235"/>
    <w:rsid w:val="00500568"/>
    <w:rsid w:val="00501B56"/>
    <w:rsid w:val="00501F6F"/>
    <w:rsid w:val="0050306D"/>
    <w:rsid w:val="005038C7"/>
    <w:rsid w:val="005072B9"/>
    <w:rsid w:val="00507A34"/>
    <w:rsid w:val="00511AA4"/>
    <w:rsid w:val="0051208C"/>
    <w:rsid w:val="005127B8"/>
    <w:rsid w:val="0051321B"/>
    <w:rsid w:val="00514195"/>
    <w:rsid w:val="0051450B"/>
    <w:rsid w:val="005157EB"/>
    <w:rsid w:val="005164C9"/>
    <w:rsid w:val="005215B6"/>
    <w:rsid w:val="00521C1A"/>
    <w:rsid w:val="00523515"/>
    <w:rsid w:val="00523E0B"/>
    <w:rsid w:val="00524B42"/>
    <w:rsid w:val="00526383"/>
    <w:rsid w:val="0052682A"/>
    <w:rsid w:val="00526F4A"/>
    <w:rsid w:val="00527720"/>
    <w:rsid w:val="00531441"/>
    <w:rsid w:val="00533D50"/>
    <w:rsid w:val="00545071"/>
    <w:rsid w:val="005457D1"/>
    <w:rsid w:val="00550DC7"/>
    <w:rsid w:val="00551BB9"/>
    <w:rsid w:val="00552C13"/>
    <w:rsid w:val="005535EC"/>
    <w:rsid w:val="0055445E"/>
    <w:rsid w:val="00554584"/>
    <w:rsid w:val="005552D7"/>
    <w:rsid w:val="005559DF"/>
    <w:rsid w:val="00556356"/>
    <w:rsid w:val="00556DCF"/>
    <w:rsid w:val="00557738"/>
    <w:rsid w:val="0056010F"/>
    <w:rsid w:val="005623EA"/>
    <w:rsid w:val="00563937"/>
    <w:rsid w:val="00564108"/>
    <w:rsid w:val="00564C24"/>
    <w:rsid w:val="00565AA3"/>
    <w:rsid w:val="005676E2"/>
    <w:rsid w:val="00570329"/>
    <w:rsid w:val="00570E65"/>
    <w:rsid w:val="00571EF6"/>
    <w:rsid w:val="005732EF"/>
    <w:rsid w:val="00573AB7"/>
    <w:rsid w:val="0057619C"/>
    <w:rsid w:val="0057739E"/>
    <w:rsid w:val="00580218"/>
    <w:rsid w:val="00582C81"/>
    <w:rsid w:val="00585803"/>
    <w:rsid w:val="00587208"/>
    <w:rsid w:val="00587220"/>
    <w:rsid w:val="005876C3"/>
    <w:rsid w:val="00590209"/>
    <w:rsid w:val="00590A10"/>
    <w:rsid w:val="00591C90"/>
    <w:rsid w:val="00592155"/>
    <w:rsid w:val="0059373B"/>
    <w:rsid w:val="00593A30"/>
    <w:rsid w:val="00593D76"/>
    <w:rsid w:val="005943E5"/>
    <w:rsid w:val="00594B75"/>
    <w:rsid w:val="00594B9D"/>
    <w:rsid w:val="00594CB2"/>
    <w:rsid w:val="0059513E"/>
    <w:rsid w:val="00595A9B"/>
    <w:rsid w:val="00596505"/>
    <w:rsid w:val="00596A26"/>
    <w:rsid w:val="005971C3"/>
    <w:rsid w:val="005A03AF"/>
    <w:rsid w:val="005A0ACF"/>
    <w:rsid w:val="005A55C0"/>
    <w:rsid w:val="005A5D5E"/>
    <w:rsid w:val="005A6724"/>
    <w:rsid w:val="005B09D7"/>
    <w:rsid w:val="005B0CF3"/>
    <w:rsid w:val="005B0E7B"/>
    <w:rsid w:val="005B1707"/>
    <w:rsid w:val="005B23EF"/>
    <w:rsid w:val="005B33C3"/>
    <w:rsid w:val="005B3441"/>
    <w:rsid w:val="005B787A"/>
    <w:rsid w:val="005C04FC"/>
    <w:rsid w:val="005C0ECA"/>
    <w:rsid w:val="005C1C88"/>
    <w:rsid w:val="005C1D4A"/>
    <w:rsid w:val="005C416C"/>
    <w:rsid w:val="005C4240"/>
    <w:rsid w:val="005C58EC"/>
    <w:rsid w:val="005C69C9"/>
    <w:rsid w:val="005C7D29"/>
    <w:rsid w:val="005D0DB2"/>
    <w:rsid w:val="005D24FF"/>
    <w:rsid w:val="005D264A"/>
    <w:rsid w:val="005D3626"/>
    <w:rsid w:val="005D408F"/>
    <w:rsid w:val="005E017D"/>
    <w:rsid w:val="005E1AFC"/>
    <w:rsid w:val="005E297C"/>
    <w:rsid w:val="005E3692"/>
    <w:rsid w:val="005E5BC4"/>
    <w:rsid w:val="005F1BAB"/>
    <w:rsid w:val="005F1EDF"/>
    <w:rsid w:val="005F3405"/>
    <w:rsid w:val="005F35DE"/>
    <w:rsid w:val="005F49CB"/>
    <w:rsid w:val="005F4B42"/>
    <w:rsid w:val="005F4DC4"/>
    <w:rsid w:val="005F6168"/>
    <w:rsid w:val="005F6202"/>
    <w:rsid w:val="005F67A8"/>
    <w:rsid w:val="00602777"/>
    <w:rsid w:val="00604C3F"/>
    <w:rsid w:val="00604CE2"/>
    <w:rsid w:val="00604CFC"/>
    <w:rsid w:val="00605874"/>
    <w:rsid w:val="00605DD0"/>
    <w:rsid w:val="00606A36"/>
    <w:rsid w:val="00607358"/>
    <w:rsid w:val="0060739F"/>
    <w:rsid w:val="006108FD"/>
    <w:rsid w:val="006141AF"/>
    <w:rsid w:val="006171AE"/>
    <w:rsid w:val="00620300"/>
    <w:rsid w:val="00624F95"/>
    <w:rsid w:val="006270E4"/>
    <w:rsid w:val="00630908"/>
    <w:rsid w:val="00630C4E"/>
    <w:rsid w:val="0063180B"/>
    <w:rsid w:val="00632934"/>
    <w:rsid w:val="00634567"/>
    <w:rsid w:val="0063478B"/>
    <w:rsid w:val="0063553E"/>
    <w:rsid w:val="0063607D"/>
    <w:rsid w:val="0063651A"/>
    <w:rsid w:val="00637AA6"/>
    <w:rsid w:val="00640374"/>
    <w:rsid w:val="006403E8"/>
    <w:rsid w:val="00641847"/>
    <w:rsid w:val="00641905"/>
    <w:rsid w:val="00642E6D"/>
    <w:rsid w:val="00645F9C"/>
    <w:rsid w:val="00646667"/>
    <w:rsid w:val="00652398"/>
    <w:rsid w:val="00654E03"/>
    <w:rsid w:val="0065526D"/>
    <w:rsid w:val="00661E50"/>
    <w:rsid w:val="006627F3"/>
    <w:rsid w:val="006644B0"/>
    <w:rsid w:val="00666E72"/>
    <w:rsid w:val="006674A0"/>
    <w:rsid w:val="00671DDB"/>
    <w:rsid w:val="006726B1"/>
    <w:rsid w:val="006730F7"/>
    <w:rsid w:val="0067348F"/>
    <w:rsid w:val="006734CF"/>
    <w:rsid w:val="00673ECE"/>
    <w:rsid w:val="00674CBA"/>
    <w:rsid w:val="00674E01"/>
    <w:rsid w:val="00675F9A"/>
    <w:rsid w:val="00677517"/>
    <w:rsid w:val="006802EA"/>
    <w:rsid w:val="00680BCE"/>
    <w:rsid w:val="00680DAC"/>
    <w:rsid w:val="00680F93"/>
    <w:rsid w:val="0068198E"/>
    <w:rsid w:val="00681D67"/>
    <w:rsid w:val="006838FE"/>
    <w:rsid w:val="006844F9"/>
    <w:rsid w:val="006851C6"/>
    <w:rsid w:val="006851EF"/>
    <w:rsid w:val="00685CE7"/>
    <w:rsid w:val="00686B75"/>
    <w:rsid w:val="0069072F"/>
    <w:rsid w:val="00692752"/>
    <w:rsid w:val="00694812"/>
    <w:rsid w:val="0069704B"/>
    <w:rsid w:val="006A0FCF"/>
    <w:rsid w:val="006A10CC"/>
    <w:rsid w:val="006A1A67"/>
    <w:rsid w:val="006A2085"/>
    <w:rsid w:val="006A29B0"/>
    <w:rsid w:val="006A4D3F"/>
    <w:rsid w:val="006A5635"/>
    <w:rsid w:val="006A5882"/>
    <w:rsid w:val="006A60DD"/>
    <w:rsid w:val="006A7539"/>
    <w:rsid w:val="006B13DA"/>
    <w:rsid w:val="006B1687"/>
    <w:rsid w:val="006B171A"/>
    <w:rsid w:val="006B1978"/>
    <w:rsid w:val="006B2591"/>
    <w:rsid w:val="006B3508"/>
    <w:rsid w:val="006B3ACF"/>
    <w:rsid w:val="006B5537"/>
    <w:rsid w:val="006B6167"/>
    <w:rsid w:val="006B6684"/>
    <w:rsid w:val="006B74E8"/>
    <w:rsid w:val="006C1D77"/>
    <w:rsid w:val="006C2065"/>
    <w:rsid w:val="006C37D0"/>
    <w:rsid w:val="006C41E5"/>
    <w:rsid w:val="006C4B73"/>
    <w:rsid w:val="006C66E5"/>
    <w:rsid w:val="006C6B65"/>
    <w:rsid w:val="006C723B"/>
    <w:rsid w:val="006C76CB"/>
    <w:rsid w:val="006C7A88"/>
    <w:rsid w:val="006D0145"/>
    <w:rsid w:val="006D1BEC"/>
    <w:rsid w:val="006D2857"/>
    <w:rsid w:val="006D2D62"/>
    <w:rsid w:val="006D2D82"/>
    <w:rsid w:val="006D496F"/>
    <w:rsid w:val="006D4C69"/>
    <w:rsid w:val="006D5D25"/>
    <w:rsid w:val="006D7D86"/>
    <w:rsid w:val="006E09FA"/>
    <w:rsid w:val="006E0BF5"/>
    <w:rsid w:val="006E1EF6"/>
    <w:rsid w:val="006E20A4"/>
    <w:rsid w:val="006E3439"/>
    <w:rsid w:val="006E346E"/>
    <w:rsid w:val="006E65A9"/>
    <w:rsid w:val="006E68CA"/>
    <w:rsid w:val="006E7117"/>
    <w:rsid w:val="006E7140"/>
    <w:rsid w:val="006E750D"/>
    <w:rsid w:val="006E7E16"/>
    <w:rsid w:val="006F0301"/>
    <w:rsid w:val="006F1D0C"/>
    <w:rsid w:val="006F1E8B"/>
    <w:rsid w:val="006F220A"/>
    <w:rsid w:val="006F3B26"/>
    <w:rsid w:val="006F3D1B"/>
    <w:rsid w:val="006F3D98"/>
    <w:rsid w:val="006F3F9D"/>
    <w:rsid w:val="006F5898"/>
    <w:rsid w:val="006F69C9"/>
    <w:rsid w:val="00700812"/>
    <w:rsid w:val="00700B01"/>
    <w:rsid w:val="00700D52"/>
    <w:rsid w:val="007010F1"/>
    <w:rsid w:val="00702698"/>
    <w:rsid w:val="00702963"/>
    <w:rsid w:val="00703EB1"/>
    <w:rsid w:val="007051D8"/>
    <w:rsid w:val="007052ED"/>
    <w:rsid w:val="00705741"/>
    <w:rsid w:val="00705E5D"/>
    <w:rsid w:val="007064A9"/>
    <w:rsid w:val="007066C5"/>
    <w:rsid w:val="007069BC"/>
    <w:rsid w:val="00707AE6"/>
    <w:rsid w:val="007117CF"/>
    <w:rsid w:val="00711CED"/>
    <w:rsid w:val="0071251C"/>
    <w:rsid w:val="00712770"/>
    <w:rsid w:val="00713191"/>
    <w:rsid w:val="007131D1"/>
    <w:rsid w:val="007131FD"/>
    <w:rsid w:val="0071470B"/>
    <w:rsid w:val="007151F4"/>
    <w:rsid w:val="00716D98"/>
    <w:rsid w:val="00717CC7"/>
    <w:rsid w:val="00720DAB"/>
    <w:rsid w:val="00720EC7"/>
    <w:rsid w:val="007221DA"/>
    <w:rsid w:val="0072377A"/>
    <w:rsid w:val="007239FA"/>
    <w:rsid w:val="00723CFB"/>
    <w:rsid w:val="00724910"/>
    <w:rsid w:val="00725744"/>
    <w:rsid w:val="0072600F"/>
    <w:rsid w:val="007300BA"/>
    <w:rsid w:val="00730A53"/>
    <w:rsid w:val="00731CE7"/>
    <w:rsid w:val="007327B5"/>
    <w:rsid w:val="00732F7B"/>
    <w:rsid w:val="00733F11"/>
    <w:rsid w:val="007341F4"/>
    <w:rsid w:val="0073489E"/>
    <w:rsid w:val="00736DB1"/>
    <w:rsid w:val="00737ADF"/>
    <w:rsid w:val="00737E24"/>
    <w:rsid w:val="00741FB7"/>
    <w:rsid w:val="00742514"/>
    <w:rsid w:val="00742C6B"/>
    <w:rsid w:val="00745426"/>
    <w:rsid w:val="00751558"/>
    <w:rsid w:val="007543EC"/>
    <w:rsid w:val="00754FB6"/>
    <w:rsid w:val="0075509F"/>
    <w:rsid w:val="00756E64"/>
    <w:rsid w:val="007601E5"/>
    <w:rsid w:val="00761173"/>
    <w:rsid w:val="00762373"/>
    <w:rsid w:val="00762E47"/>
    <w:rsid w:val="007637A1"/>
    <w:rsid w:val="0076426D"/>
    <w:rsid w:val="00764D67"/>
    <w:rsid w:val="00765ABB"/>
    <w:rsid w:val="007663D2"/>
    <w:rsid w:val="007678D9"/>
    <w:rsid w:val="00771DFB"/>
    <w:rsid w:val="007726E5"/>
    <w:rsid w:val="00773707"/>
    <w:rsid w:val="00773A4F"/>
    <w:rsid w:val="00776174"/>
    <w:rsid w:val="00780B52"/>
    <w:rsid w:val="0078293F"/>
    <w:rsid w:val="007870E6"/>
    <w:rsid w:val="00787BE8"/>
    <w:rsid w:val="007934A1"/>
    <w:rsid w:val="0079526E"/>
    <w:rsid w:val="007976E0"/>
    <w:rsid w:val="00797763"/>
    <w:rsid w:val="007A1D35"/>
    <w:rsid w:val="007A36F1"/>
    <w:rsid w:val="007A5552"/>
    <w:rsid w:val="007A56CF"/>
    <w:rsid w:val="007A7DD4"/>
    <w:rsid w:val="007A7E15"/>
    <w:rsid w:val="007B16A9"/>
    <w:rsid w:val="007B191B"/>
    <w:rsid w:val="007B1C79"/>
    <w:rsid w:val="007B2210"/>
    <w:rsid w:val="007B25F4"/>
    <w:rsid w:val="007B28D6"/>
    <w:rsid w:val="007B42CC"/>
    <w:rsid w:val="007B4A9B"/>
    <w:rsid w:val="007B561D"/>
    <w:rsid w:val="007B5836"/>
    <w:rsid w:val="007B5955"/>
    <w:rsid w:val="007B6A7B"/>
    <w:rsid w:val="007B7251"/>
    <w:rsid w:val="007C0022"/>
    <w:rsid w:val="007C03FD"/>
    <w:rsid w:val="007C10D1"/>
    <w:rsid w:val="007C2C58"/>
    <w:rsid w:val="007C32D6"/>
    <w:rsid w:val="007C3B4C"/>
    <w:rsid w:val="007D036A"/>
    <w:rsid w:val="007D0453"/>
    <w:rsid w:val="007D0850"/>
    <w:rsid w:val="007D10D8"/>
    <w:rsid w:val="007D1835"/>
    <w:rsid w:val="007D2373"/>
    <w:rsid w:val="007D43A6"/>
    <w:rsid w:val="007D443D"/>
    <w:rsid w:val="007D489A"/>
    <w:rsid w:val="007E0669"/>
    <w:rsid w:val="007E15B3"/>
    <w:rsid w:val="007E22FF"/>
    <w:rsid w:val="007E293C"/>
    <w:rsid w:val="007E3C47"/>
    <w:rsid w:val="007E4B75"/>
    <w:rsid w:val="007E59B8"/>
    <w:rsid w:val="007F19FB"/>
    <w:rsid w:val="007F33F7"/>
    <w:rsid w:val="007F46AF"/>
    <w:rsid w:val="007F5397"/>
    <w:rsid w:val="007F5482"/>
    <w:rsid w:val="007F6AFF"/>
    <w:rsid w:val="00800CEE"/>
    <w:rsid w:val="008018CE"/>
    <w:rsid w:val="00802759"/>
    <w:rsid w:val="00804A16"/>
    <w:rsid w:val="008052B2"/>
    <w:rsid w:val="008054CE"/>
    <w:rsid w:val="00805C66"/>
    <w:rsid w:val="0080667E"/>
    <w:rsid w:val="0080711C"/>
    <w:rsid w:val="00807214"/>
    <w:rsid w:val="00810DCE"/>
    <w:rsid w:val="00811356"/>
    <w:rsid w:val="0081267E"/>
    <w:rsid w:val="008129FB"/>
    <w:rsid w:val="00812C9E"/>
    <w:rsid w:val="008135D7"/>
    <w:rsid w:val="00813B0C"/>
    <w:rsid w:val="0081595A"/>
    <w:rsid w:val="00815D4E"/>
    <w:rsid w:val="00816A90"/>
    <w:rsid w:val="00816F2B"/>
    <w:rsid w:val="00820BE1"/>
    <w:rsid w:val="008216BC"/>
    <w:rsid w:val="00821DFC"/>
    <w:rsid w:val="00822E5B"/>
    <w:rsid w:val="008231A5"/>
    <w:rsid w:val="008236A4"/>
    <w:rsid w:val="00823A42"/>
    <w:rsid w:val="00825A45"/>
    <w:rsid w:val="008273EE"/>
    <w:rsid w:val="00827BD6"/>
    <w:rsid w:val="00827EB4"/>
    <w:rsid w:val="00830C5D"/>
    <w:rsid w:val="00834164"/>
    <w:rsid w:val="00834FA8"/>
    <w:rsid w:val="008371BF"/>
    <w:rsid w:val="00837F6D"/>
    <w:rsid w:val="008417C8"/>
    <w:rsid w:val="00841F9A"/>
    <w:rsid w:val="00842BD6"/>
    <w:rsid w:val="0084677A"/>
    <w:rsid w:val="00846DA0"/>
    <w:rsid w:val="00847458"/>
    <w:rsid w:val="00851A4F"/>
    <w:rsid w:val="00853280"/>
    <w:rsid w:val="00853878"/>
    <w:rsid w:val="00854D09"/>
    <w:rsid w:val="00856281"/>
    <w:rsid w:val="0086123F"/>
    <w:rsid w:val="00861C2E"/>
    <w:rsid w:val="00861D85"/>
    <w:rsid w:val="00863ECC"/>
    <w:rsid w:val="008640B6"/>
    <w:rsid w:val="00864B3A"/>
    <w:rsid w:val="00866BC3"/>
    <w:rsid w:val="0086776C"/>
    <w:rsid w:val="00867C93"/>
    <w:rsid w:val="00867CFC"/>
    <w:rsid w:val="00867F97"/>
    <w:rsid w:val="00871862"/>
    <w:rsid w:val="0087209B"/>
    <w:rsid w:val="00872582"/>
    <w:rsid w:val="0087265A"/>
    <w:rsid w:val="008728CB"/>
    <w:rsid w:val="00873692"/>
    <w:rsid w:val="0087414D"/>
    <w:rsid w:val="008750DE"/>
    <w:rsid w:val="00876F31"/>
    <w:rsid w:val="00877972"/>
    <w:rsid w:val="00880786"/>
    <w:rsid w:val="00880FAD"/>
    <w:rsid w:val="00881076"/>
    <w:rsid w:val="00881F60"/>
    <w:rsid w:val="008821D7"/>
    <w:rsid w:val="008846DD"/>
    <w:rsid w:val="00885817"/>
    <w:rsid w:val="0088671F"/>
    <w:rsid w:val="00887093"/>
    <w:rsid w:val="00890643"/>
    <w:rsid w:val="00892298"/>
    <w:rsid w:val="008929B9"/>
    <w:rsid w:val="008947E8"/>
    <w:rsid w:val="008966E6"/>
    <w:rsid w:val="00897FBF"/>
    <w:rsid w:val="008A0BA7"/>
    <w:rsid w:val="008A0CB3"/>
    <w:rsid w:val="008A0D73"/>
    <w:rsid w:val="008A1716"/>
    <w:rsid w:val="008A3EFA"/>
    <w:rsid w:val="008A4B9E"/>
    <w:rsid w:val="008A5729"/>
    <w:rsid w:val="008A5EE8"/>
    <w:rsid w:val="008A729A"/>
    <w:rsid w:val="008A739A"/>
    <w:rsid w:val="008A75E3"/>
    <w:rsid w:val="008A7799"/>
    <w:rsid w:val="008B0BCD"/>
    <w:rsid w:val="008B11CE"/>
    <w:rsid w:val="008B4181"/>
    <w:rsid w:val="008B4ACF"/>
    <w:rsid w:val="008B4F3F"/>
    <w:rsid w:val="008B5582"/>
    <w:rsid w:val="008B6720"/>
    <w:rsid w:val="008B6F73"/>
    <w:rsid w:val="008B7212"/>
    <w:rsid w:val="008B77FD"/>
    <w:rsid w:val="008C01D0"/>
    <w:rsid w:val="008C0A56"/>
    <w:rsid w:val="008C2866"/>
    <w:rsid w:val="008C35F8"/>
    <w:rsid w:val="008C38A7"/>
    <w:rsid w:val="008C3F4C"/>
    <w:rsid w:val="008C5FAB"/>
    <w:rsid w:val="008C6184"/>
    <w:rsid w:val="008C66C0"/>
    <w:rsid w:val="008C694D"/>
    <w:rsid w:val="008D0B92"/>
    <w:rsid w:val="008D18D3"/>
    <w:rsid w:val="008D25CB"/>
    <w:rsid w:val="008D2997"/>
    <w:rsid w:val="008D3F3A"/>
    <w:rsid w:val="008D48AE"/>
    <w:rsid w:val="008D4EA6"/>
    <w:rsid w:val="008D505C"/>
    <w:rsid w:val="008D64E5"/>
    <w:rsid w:val="008E35B0"/>
    <w:rsid w:val="008E51B0"/>
    <w:rsid w:val="008E72F9"/>
    <w:rsid w:val="008F0193"/>
    <w:rsid w:val="008F0530"/>
    <w:rsid w:val="008F1FBF"/>
    <w:rsid w:val="008F1FCD"/>
    <w:rsid w:val="008F2CD0"/>
    <w:rsid w:val="008F523A"/>
    <w:rsid w:val="008F7411"/>
    <w:rsid w:val="008F787C"/>
    <w:rsid w:val="00901861"/>
    <w:rsid w:val="00903F12"/>
    <w:rsid w:val="00903F62"/>
    <w:rsid w:val="009042EB"/>
    <w:rsid w:val="00906D88"/>
    <w:rsid w:val="00910AF7"/>
    <w:rsid w:val="00911494"/>
    <w:rsid w:val="00912181"/>
    <w:rsid w:val="009123BF"/>
    <w:rsid w:val="009130D3"/>
    <w:rsid w:val="00915075"/>
    <w:rsid w:val="009167ED"/>
    <w:rsid w:val="0091714C"/>
    <w:rsid w:val="00917682"/>
    <w:rsid w:val="00921A63"/>
    <w:rsid w:val="00922267"/>
    <w:rsid w:val="009225A1"/>
    <w:rsid w:val="009225C7"/>
    <w:rsid w:val="009225D3"/>
    <w:rsid w:val="009243DC"/>
    <w:rsid w:val="00924465"/>
    <w:rsid w:val="009249B0"/>
    <w:rsid w:val="00925196"/>
    <w:rsid w:val="00925D06"/>
    <w:rsid w:val="009279D9"/>
    <w:rsid w:val="00927BDD"/>
    <w:rsid w:val="00935208"/>
    <w:rsid w:val="00935897"/>
    <w:rsid w:val="0093709A"/>
    <w:rsid w:val="0093766C"/>
    <w:rsid w:val="009407D3"/>
    <w:rsid w:val="00941B15"/>
    <w:rsid w:val="0094280B"/>
    <w:rsid w:val="009430DF"/>
    <w:rsid w:val="00943593"/>
    <w:rsid w:val="00943AA5"/>
    <w:rsid w:val="009458A1"/>
    <w:rsid w:val="0094698A"/>
    <w:rsid w:val="00950158"/>
    <w:rsid w:val="009506B5"/>
    <w:rsid w:val="0095126E"/>
    <w:rsid w:val="00951551"/>
    <w:rsid w:val="0095216C"/>
    <w:rsid w:val="00954B67"/>
    <w:rsid w:val="00955B8E"/>
    <w:rsid w:val="009568F8"/>
    <w:rsid w:val="00956A76"/>
    <w:rsid w:val="00960AF2"/>
    <w:rsid w:val="009616C6"/>
    <w:rsid w:val="00962940"/>
    <w:rsid w:val="00962E26"/>
    <w:rsid w:val="009633F2"/>
    <w:rsid w:val="00964F09"/>
    <w:rsid w:val="00966D35"/>
    <w:rsid w:val="00967A91"/>
    <w:rsid w:val="009705C5"/>
    <w:rsid w:val="009718AA"/>
    <w:rsid w:val="00973A67"/>
    <w:rsid w:val="00973C7C"/>
    <w:rsid w:val="009762C3"/>
    <w:rsid w:val="00976705"/>
    <w:rsid w:val="009779A4"/>
    <w:rsid w:val="00977A80"/>
    <w:rsid w:val="009809A8"/>
    <w:rsid w:val="00980D92"/>
    <w:rsid w:val="00981054"/>
    <w:rsid w:val="00982297"/>
    <w:rsid w:val="00982A69"/>
    <w:rsid w:val="0098342B"/>
    <w:rsid w:val="00983BB4"/>
    <w:rsid w:val="0098580F"/>
    <w:rsid w:val="009868EF"/>
    <w:rsid w:val="009873D5"/>
    <w:rsid w:val="00987A80"/>
    <w:rsid w:val="00993EF5"/>
    <w:rsid w:val="009943B5"/>
    <w:rsid w:val="00995046"/>
    <w:rsid w:val="0099563B"/>
    <w:rsid w:val="00996140"/>
    <w:rsid w:val="00996B10"/>
    <w:rsid w:val="009A0017"/>
    <w:rsid w:val="009A0186"/>
    <w:rsid w:val="009A096A"/>
    <w:rsid w:val="009A0BF8"/>
    <w:rsid w:val="009A0FB7"/>
    <w:rsid w:val="009A18EA"/>
    <w:rsid w:val="009A2E76"/>
    <w:rsid w:val="009A4431"/>
    <w:rsid w:val="009A48BA"/>
    <w:rsid w:val="009A49A1"/>
    <w:rsid w:val="009A4C54"/>
    <w:rsid w:val="009A4F74"/>
    <w:rsid w:val="009A6220"/>
    <w:rsid w:val="009B0173"/>
    <w:rsid w:val="009B092E"/>
    <w:rsid w:val="009B1003"/>
    <w:rsid w:val="009B2341"/>
    <w:rsid w:val="009B2AF7"/>
    <w:rsid w:val="009B3DE3"/>
    <w:rsid w:val="009B4018"/>
    <w:rsid w:val="009B43E3"/>
    <w:rsid w:val="009B47C5"/>
    <w:rsid w:val="009C0BFE"/>
    <w:rsid w:val="009C1ADE"/>
    <w:rsid w:val="009C3629"/>
    <w:rsid w:val="009C54EF"/>
    <w:rsid w:val="009C55D8"/>
    <w:rsid w:val="009C6210"/>
    <w:rsid w:val="009C733F"/>
    <w:rsid w:val="009C7FE5"/>
    <w:rsid w:val="009D0D66"/>
    <w:rsid w:val="009D154C"/>
    <w:rsid w:val="009D19C4"/>
    <w:rsid w:val="009D1DDD"/>
    <w:rsid w:val="009D26DB"/>
    <w:rsid w:val="009D6F3D"/>
    <w:rsid w:val="009D7594"/>
    <w:rsid w:val="009E1625"/>
    <w:rsid w:val="009E2989"/>
    <w:rsid w:val="009E344F"/>
    <w:rsid w:val="009E696A"/>
    <w:rsid w:val="009F068A"/>
    <w:rsid w:val="009F192E"/>
    <w:rsid w:val="009F1D8C"/>
    <w:rsid w:val="009F56D4"/>
    <w:rsid w:val="009F68BC"/>
    <w:rsid w:val="009F6932"/>
    <w:rsid w:val="00A0084D"/>
    <w:rsid w:val="00A00BA0"/>
    <w:rsid w:val="00A03876"/>
    <w:rsid w:val="00A04067"/>
    <w:rsid w:val="00A05731"/>
    <w:rsid w:val="00A10E1D"/>
    <w:rsid w:val="00A117D1"/>
    <w:rsid w:val="00A11C8D"/>
    <w:rsid w:val="00A122CB"/>
    <w:rsid w:val="00A13C4D"/>
    <w:rsid w:val="00A14707"/>
    <w:rsid w:val="00A15726"/>
    <w:rsid w:val="00A15765"/>
    <w:rsid w:val="00A15BC2"/>
    <w:rsid w:val="00A16D67"/>
    <w:rsid w:val="00A16DFD"/>
    <w:rsid w:val="00A17E3A"/>
    <w:rsid w:val="00A25A6A"/>
    <w:rsid w:val="00A25C06"/>
    <w:rsid w:val="00A3019D"/>
    <w:rsid w:val="00A30BD8"/>
    <w:rsid w:val="00A30F0A"/>
    <w:rsid w:val="00A31C4D"/>
    <w:rsid w:val="00A347FF"/>
    <w:rsid w:val="00A35336"/>
    <w:rsid w:val="00A36336"/>
    <w:rsid w:val="00A36505"/>
    <w:rsid w:val="00A366BC"/>
    <w:rsid w:val="00A36870"/>
    <w:rsid w:val="00A376CF"/>
    <w:rsid w:val="00A40931"/>
    <w:rsid w:val="00A44710"/>
    <w:rsid w:val="00A44FB7"/>
    <w:rsid w:val="00A47203"/>
    <w:rsid w:val="00A52FF8"/>
    <w:rsid w:val="00A5345F"/>
    <w:rsid w:val="00A53A4A"/>
    <w:rsid w:val="00A55A17"/>
    <w:rsid w:val="00A56059"/>
    <w:rsid w:val="00A565C0"/>
    <w:rsid w:val="00A60158"/>
    <w:rsid w:val="00A6172C"/>
    <w:rsid w:val="00A630CA"/>
    <w:rsid w:val="00A6321A"/>
    <w:rsid w:val="00A632FD"/>
    <w:rsid w:val="00A64DBA"/>
    <w:rsid w:val="00A655B3"/>
    <w:rsid w:val="00A65694"/>
    <w:rsid w:val="00A6754F"/>
    <w:rsid w:val="00A70E10"/>
    <w:rsid w:val="00A7686F"/>
    <w:rsid w:val="00A76AEA"/>
    <w:rsid w:val="00A76EFE"/>
    <w:rsid w:val="00A774CA"/>
    <w:rsid w:val="00A77C01"/>
    <w:rsid w:val="00A80A2F"/>
    <w:rsid w:val="00A80FBF"/>
    <w:rsid w:val="00A86EA7"/>
    <w:rsid w:val="00A90A42"/>
    <w:rsid w:val="00A92042"/>
    <w:rsid w:val="00A92D2B"/>
    <w:rsid w:val="00A9675B"/>
    <w:rsid w:val="00A969C4"/>
    <w:rsid w:val="00A971D7"/>
    <w:rsid w:val="00A9796A"/>
    <w:rsid w:val="00AA0033"/>
    <w:rsid w:val="00AA222F"/>
    <w:rsid w:val="00AA2433"/>
    <w:rsid w:val="00AA263E"/>
    <w:rsid w:val="00AA2E17"/>
    <w:rsid w:val="00AA2E3B"/>
    <w:rsid w:val="00AA2EFE"/>
    <w:rsid w:val="00AA32CD"/>
    <w:rsid w:val="00AA389E"/>
    <w:rsid w:val="00AA4B55"/>
    <w:rsid w:val="00AA5B92"/>
    <w:rsid w:val="00AA5E21"/>
    <w:rsid w:val="00AA6646"/>
    <w:rsid w:val="00AA680A"/>
    <w:rsid w:val="00AA6D57"/>
    <w:rsid w:val="00AA7211"/>
    <w:rsid w:val="00AB1354"/>
    <w:rsid w:val="00AB213D"/>
    <w:rsid w:val="00AB2A01"/>
    <w:rsid w:val="00AB2B60"/>
    <w:rsid w:val="00AB3A2B"/>
    <w:rsid w:val="00AB43DE"/>
    <w:rsid w:val="00AB686D"/>
    <w:rsid w:val="00AB71B7"/>
    <w:rsid w:val="00AB77D1"/>
    <w:rsid w:val="00AB789C"/>
    <w:rsid w:val="00AC1CF7"/>
    <w:rsid w:val="00AC21B1"/>
    <w:rsid w:val="00AC2604"/>
    <w:rsid w:val="00AC2A95"/>
    <w:rsid w:val="00AC2C94"/>
    <w:rsid w:val="00AC3D89"/>
    <w:rsid w:val="00AC3F5E"/>
    <w:rsid w:val="00AC6FDE"/>
    <w:rsid w:val="00AC7C35"/>
    <w:rsid w:val="00AC7EA6"/>
    <w:rsid w:val="00AD0674"/>
    <w:rsid w:val="00AD0890"/>
    <w:rsid w:val="00AD2676"/>
    <w:rsid w:val="00AD28F9"/>
    <w:rsid w:val="00AD2C61"/>
    <w:rsid w:val="00AD37F5"/>
    <w:rsid w:val="00AD4251"/>
    <w:rsid w:val="00AD6B4E"/>
    <w:rsid w:val="00AD7890"/>
    <w:rsid w:val="00AD7900"/>
    <w:rsid w:val="00AD7CE5"/>
    <w:rsid w:val="00AE076B"/>
    <w:rsid w:val="00AE132C"/>
    <w:rsid w:val="00AE22AD"/>
    <w:rsid w:val="00AE29FD"/>
    <w:rsid w:val="00AE2AAD"/>
    <w:rsid w:val="00AE4AD0"/>
    <w:rsid w:val="00AE4C30"/>
    <w:rsid w:val="00AE4D13"/>
    <w:rsid w:val="00AE559C"/>
    <w:rsid w:val="00AE6E36"/>
    <w:rsid w:val="00AE79B4"/>
    <w:rsid w:val="00AE7DBD"/>
    <w:rsid w:val="00AF1378"/>
    <w:rsid w:val="00AF1506"/>
    <w:rsid w:val="00AF1CC3"/>
    <w:rsid w:val="00AF27C9"/>
    <w:rsid w:val="00AF4512"/>
    <w:rsid w:val="00AF4BEA"/>
    <w:rsid w:val="00AF4FF7"/>
    <w:rsid w:val="00AF50AB"/>
    <w:rsid w:val="00AF7F1B"/>
    <w:rsid w:val="00AF7F42"/>
    <w:rsid w:val="00B005DC"/>
    <w:rsid w:val="00B01077"/>
    <w:rsid w:val="00B01180"/>
    <w:rsid w:val="00B01717"/>
    <w:rsid w:val="00B02483"/>
    <w:rsid w:val="00B02517"/>
    <w:rsid w:val="00B03478"/>
    <w:rsid w:val="00B0601D"/>
    <w:rsid w:val="00B062B7"/>
    <w:rsid w:val="00B10736"/>
    <w:rsid w:val="00B108C4"/>
    <w:rsid w:val="00B12ABE"/>
    <w:rsid w:val="00B142A8"/>
    <w:rsid w:val="00B14E92"/>
    <w:rsid w:val="00B15598"/>
    <w:rsid w:val="00B15601"/>
    <w:rsid w:val="00B16184"/>
    <w:rsid w:val="00B1716A"/>
    <w:rsid w:val="00B177F8"/>
    <w:rsid w:val="00B20B88"/>
    <w:rsid w:val="00B21B53"/>
    <w:rsid w:val="00B230DF"/>
    <w:rsid w:val="00B234CB"/>
    <w:rsid w:val="00B2371E"/>
    <w:rsid w:val="00B2378B"/>
    <w:rsid w:val="00B23CB5"/>
    <w:rsid w:val="00B250BF"/>
    <w:rsid w:val="00B25BAD"/>
    <w:rsid w:val="00B26ABB"/>
    <w:rsid w:val="00B26CA2"/>
    <w:rsid w:val="00B308F0"/>
    <w:rsid w:val="00B34EFF"/>
    <w:rsid w:val="00B350AB"/>
    <w:rsid w:val="00B3519E"/>
    <w:rsid w:val="00B352E8"/>
    <w:rsid w:val="00B357CA"/>
    <w:rsid w:val="00B35995"/>
    <w:rsid w:val="00B35E86"/>
    <w:rsid w:val="00B36DBF"/>
    <w:rsid w:val="00B3700D"/>
    <w:rsid w:val="00B37084"/>
    <w:rsid w:val="00B372EF"/>
    <w:rsid w:val="00B40353"/>
    <w:rsid w:val="00B40CD5"/>
    <w:rsid w:val="00B40F3B"/>
    <w:rsid w:val="00B46BE2"/>
    <w:rsid w:val="00B478F9"/>
    <w:rsid w:val="00B51CF6"/>
    <w:rsid w:val="00B5612F"/>
    <w:rsid w:val="00B56ACB"/>
    <w:rsid w:val="00B57136"/>
    <w:rsid w:val="00B6089C"/>
    <w:rsid w:val="00B61B38"/>
    <w:rsid w:val="00B62EB5"/>
    <w:rsid w:val="00B64106"/>
    <w:rsid w:val="00B649CF"/>
    <w:rsid w:val="00B65FBF"/>
    <w:rsid w:val="00B67D27"/>
    <w:rsid w:val="00B704C9"/>
    <w:rsid w:val="00B70A4C"/>
    <w:rsid w:val="00B73FE8"/>
    <w:rsid w:val="00B74B74"/>
    <w:rsid w:val="00B77084"/>
    <w:rsid w:val="00B77420"/>
    <w:rsid w:val="00B77EE1"/>
    <w:rsid w:val="00B8243D"/>
    <w:rsid w:val="00B83109"/>
    <w:rsid w:val="00B84D1E"/>
    <w:rsid w:val="00B878AF"/>
    <w:rsid w:val="00B91076"/>
    <w:rsid w:val="00B91633"/>
    <w:rsid w:val="00B9301D"/>
    <w:rsid w:val="00B9584E"/>
    <w:rsid w:val="00B9684E"/>
    <w:rsid w:val="00B97C90"/>
    <w:rsid w:val="00BA10E4"/>
    <w:rsid w:val="00BA476C"/>
    <w:rsid w:val="00BA4FA2"/>
    <w:rsid w:val="00BA586E"/>
    <w:rsid w:val="00BA5EAB"/>
    <w:rsid w:val="00BA6A6F"/>
    <w:rsid w:val="00BA6AD1"/>
    <w:rsid w:val="00BA6DA5"/>
    <w:rsid w:val="00BA7CAD"/>
    <w:rsid w:val="00BB0B7C"/>
    <w:rsid w:val="00BB1205"/>
    <w:rsid w:val="00BB20D0"/>
    <w:rsid w:val="00BB2DDF"/>
    <w:rsid w:val="00BB4C3F"/>
    <w:rsid w:val="00BB57A0"/>
    <w:rsid w:val="00BB5A78"/>
    <w:rsid w:val="00BB5BC9"/>
    <w:rsid w:val="00BB7206"/>
    <w:rsid w:val="00BB77FB"/>
    <w:rsid w:val="00BC1347"/>
    <w:rsid w:val="00BC414D"/>
    <w:rsid w:val="00BC4326"/>
    <w:rsid w:val="00BC585E"/>
    <w:rsid w:val="00BD3297"/>
    <w:rsid w:val="00BD5620"/>
    <w:rsid w:val="00BD59BB"/>
    <w:rsid w:val="00BD5BA7"/>
    <w:rsid w:val="00BD69AC"/>
    <w:rsid w:val="00BD6DD3"/>
    <w:rsid w:val="00BE0555"/>
    <w:rsid w:val="00BE0FA7"/>
    <w:rsid w:val="00BE165F"/>
    <w:rsid w:val="00BE25B3"/>
    <w:rsid w:val="00BE2DD7"/>
    <w:rsid w:val="00BE4A4E"/>
    <w:rsid w:val="00BE61F7"/>
    <w:rsid w:val="00BE6489"/>
    <w:rsid w:val="00BE6730"/>
    <w:rsid w:val="00BE6B70"/>
    <w:rsid w:val="00BE6BBD"/>
    <w:rsid w:val="00BE6C4F"/>
    <w:rsid w:val="00BF21E9"/>
    <w:rsid w:val="00BF4EBB"/>
    <w:rsid w:val="00BF6AE4"/>
    <w:rsid w:val="00BF6CF1"/>
    <w:rsid w:val="00C00717"/>
    <w:rsid w:val="00C02022"/>
    <w:rsid w:val="00C02A21"/>
    <w:rsid w:val="00C03701"/>
    <w:rsid w:val="00C03BB8"/>
    <w:rsid w:val="00C10A4C"/>
    <w:rsid w:val="00C1397C"/>
    <w:rsid w:val="00C13A0D"/>
    <w:rsid w:val="00C145C2"/>
    <w:rsid w:val="00C14E73"/>
    <w:rsid w:val="00C15DE1"/>
    <w:rsid w:val="00C1669A"/>
    <w:rsid w:val="00C174A1"/>
    <w:rsid w:val="00C179F5"/>
    <w:rsid w:val="00C2221F"/>
    <w:rsid w:val="00C22237"/>
    <w:rsid w:val="00C23E40"/>
    <w:rsid w:val="00C2415F"/>
    <w:rsid w:val="00C2567D"/>
    <w:rsid w:val="00C258F0"/>
    <w:rsid w:val="00C25EB6"/>
    <w:rsid w:val="00C27BD4"/>
    <w:rsid w:val="00C27C90"/>
    <w:rsid w:val="00C3026F"/>
    <w:rsid w:val="00C33681"/>
    <w:rsid w:val="00C33A7A"/>
    <w:rsid w:val="00C33EBF"/>
    <w:rsid w:val="00C346D9"/>
    <w:rsid w:val="00C3541A"/>
    <w:rsid w:val="00C414B0"/>
    <w:rsid w:val="00C422B5"/>
    <w:rsid w:val="00C42A5E"/>
    <w:rsid w:val="00C433C4"/>
    <w:rsid w:val="00C454AE"/>
    <w:rsid w:val="00C500EF"/>
    <w:rsid w:val="00C511F5"/>
    <w:rsid w:val="00C51D59"/>
    <w:rsid w:val="00C52E1C"/>
    <w:rsid w:val="00C53FAA"/>
    <w:rsid w:val="00C56B86"/>
    <w:rsid w:val="00C57210"/>
    <w:rsid w:val="00C57BAA"/>
    <w:rsid w:val="00C62763"/>
    <w:rsid w:val="00C72669"/>
    <w:rsid w:val="00C77C28"/>
    <w:rsid w:val="00C80542"/>
    <w:rsid w:val="00C80E18"/>
    <w:rsid w:val="00C824CE"/>
    <w:rsid w:val="00C8263A"/>
    <w:rsid w:val="00C84505"/>
    <w:rsid w:val="00C84AC2"/>
    <w:rsid w:val="00C86A41"/>
    <w:rsid w:val="00C87380"/>
    <w:rsid w:val="00C90310"/>
    <w:rsid w:val="00C9093E"/>
    <w:rsid w:val="00C90D4E"/>
    <w:rsid w:val="00C90ECF"/>
    <w:rsid w:val="00C930DE"/>
    <w:rsid w:val="00C9363D"/>
    <w:rsid w:val="00C93C5A"/>
    <w:rsid w:val="00C93E0F"/>
    <w:rsid w:val="00C959D8"/>
    <w:rsid w:val="00C972D0"/>
    <w:rsid w:val="00CA36F8"/>
    <w:rsid w:val="00CA68B0"/>
    <w:rsid w:val="00CA69EE"/>
    <w:rsid w:val="00CA7035"/>
    <w:rsid w:val="00CA7FD0"/>
    <w:rsid w:val="00CB07C7"/>
    <w:rsid w:val="00CB2A9E"/>
    <w:rsid w:val="00CB2B76"/>
    <w:rsid w:val="00CB448D"/>
    <w:rsid w:val="00CB5689"/>
    <w:rsid w:val="00CB6666"/>
    <w:rsid w:val="00CB7A69"/>
    <w:rsid w:val="00CB7D54"/>
    <w:rsid w:val="00CC13E7"/>
    <w:rsid w:val="00CC421A"/>
    <w:rsid w:val="00CC494D"/>
    <w:rsid w:val="00CC4F84"/>
    <w:rsid w:val="00CC6444"/>
    <w:rsid w:val="00CC7E4A"/>
    <w:rsid w:val="00CD061B"/>
    <w:rsid w:val="00CD1D40"/>
    <w:rsid w:val="00CD27FB"/>
    <w:rsid w:val="00CD4ED0"/>
    <w:rsid w:val="00CD667B"/>
    <w:rsid w:val="00CD6D1A"/>
    <w:rsid w:val="00CD7CA9"/>
    <w:rsid w:val="00CE04CF"/>
    <w:rsid w:val="00CE1851"/>
    <w:rsid w:val="00CE2B76"/>
    <w:rsid w:val="00CE3737"/>
    <w:rsid w:val="00CE6B73"/>
    <w:rsid w:val="00CF1D5F"/>
    <w:rsid w:val="00CF1ED2"/>
    <w:rsid w:val="00CF2B05"/>
    <w:rsid w:val="00CF3127"/>
    <w:rsid w:val="00CF6FD3"/>
    <w:rsid w:val="00CF7611"/>
    <w:rsid w:val="00CF79B0"/>
    <w:rsid w:val="00D00661"/>
    <w:rsid w:val="00D04309"/>
    <w:rsid w:val="00D06D82"/>
    <w:rsid w:val="00D1053E"/>
    <w:rsid w:val="00D122DF"/>
    <w:rsid w:val="00D126B5"/>
    <w:rsid w:val="00D12AC6"/>
    <w:rsid w:val="00D12B01"/>
    <w:rsid w:val="00D13081"/>
    <w:rsid w:val="00D13CB9"/>
    <w:rsid w:val="00D13DF9"/>
    <w:rsid w:val="00D149DF"/>
    <w:rsid w:val="00D1598C"/>
    <w:rsid w:val="00D15F38"/>
    <w:rsid w:val="00D172EC"/>
    <w:rsid w:val="00D2191A"/>
    <w:rsid w:val="00D21A5A"/>
    <w:rsid w:val="00D21DE2"/>
    <w:rsid w:val="00D24856"/>
    <w:rsid w:val="00D25705"/>
    <w:rsid w:val="00D26335"/>
    <w:rsid w:val="00D2644F"/>
    <w:rsid w:val="00D27601"/>
    <w:rsid w:val="00D27A69"/>
    <w:rsid w:val="00D30232"/>
    <w:rsid w:val="00D32C0D"/>
    <w:rsid w:val="00D32F33"/>
    <w:rsid w:val="00D34A2E"/>
    <w:rsid w:val="00D35BDB"/>
    <w:rsid w:val="00D36577"/>
    <w:rsid w:val="00D40642"/>
    <w:rsid w:val="00D421B7"/>
    <w:rsid w:val="00D44263"/>
    <w:rsid w:val="00D452CB"/>
    <w:rsid w:val="00D46388"/>
    <w:rsid w:val="00D47AAE"/>
    <w:rsid w:val="00D5008F"/>
    <w:rsid w:val="00D502B7"/>
    <w:rsid w:val="00D50FC8"/>
    <w:rsid w:val="00D53FCD"/>
    <w:rsid w:val="00D5454A"/>
    <w:rsid w:val="00D6038B"/>
    <w:rsid w:val="00D60D04"/>
    <w:rsid w:val="00D63116"/>
    <w:rsid w:val="00D654DD"/>
    <w:rsid w:val="00D70F05"/>
    <w:rsid w:val="00D717B3"/>
    <w:rsid w:val="00D71C07"/>
    <w:rsid w:val="00D745FB"/>
    <w:rsid w:val="00D74A01"/>
    <w:rsid w:val="00D74FB2"/>
    <w:rsid w:val="00D75571"/>
    <w:rsid w:val="00D75676"/>
    <w:rsid w:val="00D7638B"/>
    <w:rsid w:val="00D76DCA"/>
    <w:rsid w:val="00D77F09"/>
    <w:rsid w:val="00D8025D"/>
    <w:rsid w:val="00D8169D"/>
    <w:rsid w:val="00D82843"/>
    <w:rsid w:val="00D85383"/>
    <w:rsid w:val="00D8639D"/>
    <w:rsid w:val="00D8643C"/>
    <w:rsid w:val="00D905BE"/>
    <w:rsid w:val="00D93518"/>
    <w:rsid w:val="00D938BD"/>
    <w:rsid w:val="00D95069"/>
    <w:rsid w:val="00D950AF"/>
    <w:rsid w:val="00D95F2D"/>
    <w:rsid w:val="00D9637E"/>
    <w:rsid w:val="00D96817"/>
    <w:rsid w:val="00D97556"/>
    <w:rsid w:val="00DA078A"/>
    <w:rsid w:val="00DA0C7B"/>
    <w:rsid w:val="00DA1436"/>
    <w:rsid w:val="00DA1A3A"/>
    <w:rsid w:val="00DA25E4"/>
    <w:rsid w:val="00DA2FF1"/>
    <w:rsid w:val="00DA4C3A"/>
    <w:rsid w:val="00DA54B8"/>
    <w:rsid w:val="00DA5E5B"/>
    <w:rsid w:val="00DA676E"/>
    <w:rsid w:val="00DB06DC"/>
    <w:rsid w:val="00DB204B"/>
    <w:rsid w:val="00DB208A"/>
    <w:rsid w:val="00DB27CC"/>
    <w:rsid w:val="00DB32DD"/>
    <w:rsid w:val="00DB78D1"/>
    <w:rsid w:val="00DC0DF6"/>
    <w:rsid w:val="00DC1527"/>
    <w:rsid w:val="00DC2A0B"/>
    <w:rsid w:val="00DC3A41"/>
    <w:rsid w:val="00DC3C0F"/>
    <w:rsid w:val="00DC4D38"/>
    <w:rsid w:val="00DC6D7E"/>
    <w:rsid w:val="00DC6E20"/>
    <w:rsid w:val="00DC7C30"/>
    <w:rsid w:val="00DD1855"/>
    <w:rsid w:val="00DD1F68"/>
    <w:rsid w:val="00DD481E"/>
    <w:rsid w:val="00DD7A31"/>
    <w:rsid w:val="00DE0D1F"/>
    <w:rsid w:val="00DE2559"/>
    <w:rsid w:val="00DE302D"/>
    <w:rsid w:val="00DE60BA"/>
    <w:rsid w:val="00DE6AAE"/>
    <w:rsid w:val="00DF07C0"/>
    <w:rsid w:val="00DF0F0F"/>
    <w:rsid w:val="00DF1F65"/>
    <w:rsid w:val="00DF25D3"/>
    <w:rsid w:val="00DF2F16"/>
    <w:rsid w:val="00DF3C12"/>
    <w:rsid w:val="00DF451E"/>
    <w:rsid w:val="00DF481A"/>
    <w:rsid w:val="00DF4D71"/>
    <w:rsid w:val="00DF64FC"/>
    <w:rsid w:val="00DF7E3D"/>
    <w:rsid w:val="00E01837"/>
    <w:rsid w:val="00E025C6"/>
    <w:rsid w:val="00E02B67"/>
    <w:rsid w:val="00E045B4"/>
    <w:rsid w:val="00E05C30"/>
    <w:rsid w:val="00E067C0"/>
    <w:rsid w:val="00E073C1"/>
    <w:rsid w:val="00E10AC0"/>
    <w:rsid w:val="00E1154A"/>
    <w:rsid w:val="00E11F84"/>
    <w:rsid w:val="00E1232D"/>
    <w:rsid w:val="00E129C1"/>
    <w:rsid w:val="00E2007B"/>
    <w:rsid w:val="00E20424"/>
    <w:rsid w:val="00E21081"/>
    <w:rsid w:val="00E21641"/>
    <w:rsid w:val="00E2182E"/>
    <w:rsid w:val="00E21B1D"/>
    <w:rsid w:val="00E2288C"/>
    <w:rsid w:val="00E22F6A"/>
    <w:rsid w:val="00E23167"/>
    <w:rsid w:val="00E231F0"/>
    <w:rsid w:val="00E24817"/>
    <w:rsid w:val="00E27529"/>
    <w:rsid w:val="00E27CAF"/>
    <w:rsid w:val="00E30181"/>
    <w:rsid w:val="00E3023C"/>
    <w:rsid w:val="00E326DD"/>
    <w:rsid w:val="00E32F0C"/>
    <w:rsid w:val="00E33C64"/>
    <w:rsid w:val="00E35CF3"/>
    <w:rsid w:val="00E37D1D"/>
    <w:rsid w:val="00E41311"/>
    <w:rsid w:val="00E41CCB"/>
    <w:rsid w:val="00E41D56"/>
    <w:rsid w:val="00E423A6"/>
    <w:rsid w:val="00E428D9"/>
    <w:rsid w:val="00E42BFC"/>
    <w:rsid w:val="00E43113"/>
    <w:rsid w:val="00E45BA8"/>
    <w:rsid w:val="00E47737"/>
    <w:rsid w:val="00E501A8"/>
    <w:rsid w:val="00E5028D"/>
    <w:rsid w:val="00E50D64"/>
    <w:rsid w:val="00E51528"/>
    <w:rsid w:val="00E52588"/>
    <w:rsid w:val="00E5284F"/>
    <w:rsid w:val="00E5511B"/>
    <w:rsid w:val="00E55A0C"/>
    <w:rsid w:val="00E56286"/>
    <w:rsid w:val="00E56E94"/>
    <w:rsid w:val="00E57772"/>
    <w:rsid w:val="00E577B0"/>
    <w:rsid w:val="00E57AAE"/>
    <w:rsid w:val="00E57C57"/>
    <w:rsid w:val="00E60526"/>
    <w:rsid w:val="00E6159C"/>
    <w:rsid w:val="00E62640"/>
    <w:rsid w:val="00E62B67"/>
    <w:rsid w:val="00E63C65"/>
    <w:rsid w:val="00E64C2A"/>
    <w:rsid w:val="00E64E3B"/>
    <w:rsid w:val="00E64FED"/>
    <w:rsid w:val="00E651C3"/>
    <w:rsid w:val="00E6578E"/>
    <w:rsid w:val="00E6612F"/>
    <w:rsid w:val="00E70DBE"/>
    <w:rsid w:val="00E72707"/>
    <w:rsid w:val="00E7335C"/>
    <w:rsid w:val="00E737E3"/>
    <w:rsid w:val="00E74FE6"/>
    <w:rsid w:val="00E7554B"/>
    <w:rsid w:val="00E76969"/>
    <w:rsid w:val="00E77D4F"/>
    <w:rsid w:val="00E80105"/>
    <w:rsid w:val="00E80A4C"/>
    <w:rsid w:val="00E812B2"/>
    <w:rsid w:val="00E8182F"/>
    <w:rsid w:val="00E83BA7"/>
    <w:rsid w:val="00E84188"/>
    <w:rsid w:val="00E84566"/>
    <w:rsid w:val="00E855BC"/>
    <w:rsid w:val="00E87140"/>
    <w:rsid w:val="00E879BD"/>
    <w:rsid w:val="00E90E15"/>
    <w:rsid w:val="00E90ECE"/>
    <w:rsid w:val="00E918D7"/>
    <w:rsid w:val="00E93327"/>
    <w:rsid w:val="00E9363A"/>
    <w:rsid w:val="00E93CE7"/>
    <w:rsid w:val="00E961D4"/>
    <w:rsid w:val="00E97BAF"/>
    <w:rsid w:val="00EA1A8A"/>
    <w:rsid w:val="00EA1A99"/>
    <w:rsid w:val="00EA6888"/>
    <w:rsid w:val="00EA7AFA"/>
    <w:rsid w:val="00EB1BE3"/>
    <w:rsid w:val="00EB26D8"/>
    <w:rsid w:val="00EB28BB"/>
    <w:rsid w:val="00EB29C7"/>
    <w:rsid w:val="00EB2E62"/>
    <w:rsid w:val="00EB2ED7"/>
    <w:rsid w:val="00EB2EDB"/>
    <w:rsid w:val="00EB370C"/>
    <w:rsid w:val="00EB4A4F"/>
    <w:rsid w:val="00EB4C58"/>
    <w:rsid w:val="00EB55E9"/>
    <w:rsid w:val="00EB6C8D"/>
    <w:rsid w:val="00EB7FCC"/>
    <w:rsid w:val="00EC12C2"/>
    <w:rsid w:val="00EC199B"/>
    <w:rsid w:val="00EC30C9"/>
    <w:rsid w:val="00EC4225"/>
    <w:rsid w:val="00EC6532"/>
    <w:rsid w:val="00ED1F53"/>
    <w:rsid w:val="00ED26E5"/>
    <w:rsid w:val="00ED33F4"/>
    <w:rsid w:val="00ED39C1"/>
    <w:rsid w:val="00ED76A3"/>
    <w:rsid w:val="00ED774A"/>
    <w:rsid w:val="00EE01D8"/>
    <w:rsid w:val="00EE108D"/>
    <w:rsid w:val="00EE3C1A"/>
    <w:rsid w:val="00EE69CC"/>
    <w:rsid w:val="00EE6D6B"/>
    <w:rsid w:val="00EE796C"/>
    <w:rsid w:val="00EF039C"/>
    <w:rsid w:val="00EF0B81"/>
    <w:rsid w:val="00EF1D66"/>
    <w:rsid w:val="00EF1EED"/>
    <w:rsid w:val="00EF2560"/>
    <w:rsid w:val="00EF2ACB"/>
    <w:rsid w:val="00EF5BE5"/>
    <w:rsid w:val="00EF5D72"/>
    <w:rsid w:val="00EF7B1D"/>
    <w:rsid w:val="00F01010"/>
    <w:rsid w:val="00F03583"/>
    <w:rsid w:val="00F04B83"/>
    <w:rsid w:val="00F07175"/>
    <w:rsid w:val="00F1052F"/>
    <w:rsid w:val="00F10DA3"/>
    <w:rsid w:val="00F134E1"/>
    <w:rsid w:val="00F15778"/>
    <w:rsid w:val="00F15CF6"/>
    <w:rsid w:val="00F15FA6"/>
    <w:rsid w:val="00F2113F"/>
    <w:rsid w:val="00F21589"/>
    <w:rsid w:val="00F2236B"/>
    <w:rsid w:val="00F2334A"/>
    <w:rsid w:val="00F25892"/>
    <w:rsid w:val="00F27B74"/>
    <w:rsid w:val="00F31BEC"/>
    <w:rsid w:val="00F320C9"/>
    <w:rsid w:val="00F32831"/>
    <w:rsid w:val="00F3383E"/>
    <w:rsid w:val="00F35327"/>
    <w:rsid w:val="00F36430"/>
    <w:rsid w:val="00F37899"/>
    <w:rsid w:val="00F37E3A"/>
    <w:rsid w:val="00F37FB4"/>
    <w:rsid w:val="00F400BA"/>
    <w:rsid w:val="00F41520"/>
    <w:rsid w:val="00F4171E"/>
    <w:rsid w:val="00F43114"/>
    <w:rsid w:val="00F4383B"/>
    <w:rsid w:val="00F443C9"/>
    <w:rsid w:val="00F463E5"/>
    <w:rsid w:val="00F465A8"/>
    <w:rsid w:val="00F46DFA"/>
    <w:rsid w:val="00F50BBA"/>
    <w:rsid w:val="00F51009"/>
    <w:rsid w:val="00F5146A"/>
    <w:rsid w:val="00F52078"/>
    <w:rsid w:val="00F5273E"/>
    <w:rsid w:val="00F52A0E"/>
    <w:rsid w:val="00F52D3F"/>
    <w:rsid w:val="00F54B48"/>
    <w:rsid w:val="00F575DA"/>
    <w:rsid w:val="00F61DB9"/>
    <w:rsid w:val="00F623C3"/>
    <w:rsid w:val="00F62C59"/>
    <w:rsid w:val="00F63021"/>
    <w:rsid w:val="00F63339"/>
    <w:rsid w:val="00F63CAD"/>
    <w:rsid w:val="00F6744F"/>
    <w:rsid w:val="00F71094"/>
    <w:rsid w:val="00F7135E"/>
    <w:rsid w:val="00F7170D"/>
    <w:rsid w:val="00F71B00"/>
    <w:rsid w:val="00F72678"/>
    <w:rsid w:val="00F72FCD"/>
    <w:rsid w:val="00F736A5"/>
    <w:rsid w:val="00F739AC"/>
    <w:rsid w:val="00F766D7"/>
    <w:rsid w:val="00F808A9"/>
    <w:rsid w:val="00F808E9"/>
    <w:rsid w:val="00F809E1"/>
    <w:rsid w:val="00F80F01"/>
    <w:rsid w:val="00F8197A"/>
    <w:rsid w:val="00F81BFB"/>
    <w:rsid w:val="00F8400A"/>
    <w:rsid w:val="00F84138"/>
    <w:rsid w:val="00F846D4"/>
    <w:rsid w:val="00F84C50"/>
    <w:rsid w:val="00F85F3B"/>
    <w:rsid w:val="00F86F85"/>
    <w:rsid w:val="00F872E3"/>
    <w:rsid w:val="00F87F3A"/>
    <w:rsid w:val="00F90785"/>
    <w:rsid w:val="00F915A9"/>
    <w:rsid w:val="00F91A9A"/>
    <w:rsid w:val="00F92EF9"/>
    <w:rsid w:val="00F9582A"/>
    <w:rsid w:val="00F9591C"/>
    <w:rsid w:val="00F9659A"/>
    <w:rsid w:val="00FA1385"/>
    <w:rsid w:val="00FA1D7A"/>
    <w:rsid w:val="00FA2B6D"/>
    <w:rsid w:val="00FA2F99"/>
    <w:rsid w:val="00FA3211"/>
    <w:rsid w:val="00FA34F3"/>
    <w:rsid w:val="00FA5AC2"/>
    <w:rsid w:val="00FA5EDC"/>
    <w:rsid w:val="00FA6744"/>
    <w:rsid w:val="00FB0149"/>
    <w:rsid w:val="00FB243F"/>
    <w:rsid w:val="00FB2E22"/>
    <w:rsid w:val="00FB3257"/>
    <w:rsid w:val="00FB40BE"/>
    <w:rsid w:val="00FB70A3"/>
    <w:rsid w:val="00FC0157"/>
    <w:rsid w:val="00FC1D40"/>
    <w:rsid w:val="00FC1DAC"/>
    <w:rsid w:val="00FC6320"/>
    <w:rsid w:val="00FC7351"/>
    <w:rsid w:val="00FD07CF"/>
    <w:rsid w:val="00FD2B31"/>
    <w:rsid w:val="00FD4591"/>
    <w:rsid w:val="00FD54FC"/>
    <w:rsid w:val="00FD553F"/>
    <w:rsid w:val="00FD5859"/>
    <w:rsid w:val="00FE0648"/>
    <w:rsid w:val="00FE0919"/>
    <w:rsid w:val="00FE13A4"/>
    <w:rsid w:val="00FE1A8B"/>
    <w:rsid w:val="00FE31D3"/>
    <w:rsid w:val="00FE4A52"/>
    <w:rsid w:val="00FE5027"/>
    <w:rsid w:val="00FE51BF"/>
    <w:rsid w:val="00FE67E6"/>
    <w:rsid w:val="00FE6EA3"/>
    <w:rsid w:val="00FF0D0E"/>
    <w:rsid w:val="00FF1487"/>
    <w:rsid w:val="00FF16D6"/>
    <w:rsid w:val="00FF4EF5"/>
    <w:rsid w:val="00FF5D90"/>
    <w:rsid w:val="00FF65F8"/>
    <w:rsid w:val="00FF70CF"/>
    <w:rsid w:val="00FF7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8FF9F7"/>
  <w15:docId w15:val="{17015520-C528-42D1-BDCD-591D21B2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spacing w:before="240" w:line="276" w:lineRule="auto"/>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ind w:left="1584" w:hanging="215"/>
      <w:jc w:val="both"/>
      <w:outlineLvl w:val="1"/>
    </w:pPr>
  </w:style>
  <w:style w:type="paragraph" w:styleId="Heading3">
    <w:name w:val="heading 3"/>
    <w:basedOn w:val="Normal"/>
    <w:next w:val="Normal"/>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jc w:val="center"/>
    </w:pPr>
    <w:rPr>
      <w:rFonts w:ascii="Calibri" w:eastAsia="Calibri" w:hAnsi="Calibri" w:cs="Calibri"/>
      <w:b/>
      <w:sz w:val="22"/>
      <w:szCs w:val="22"/>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2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85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35BDB"/>
    <w:rPr>
      <w:b/>
      <w:bCs/>
    </w:rPr>
  </w:style>
  <w:style w:type="character" w:customStyle="1" w:styleId="CommentSubjectChar">
    <w:name w:val="Comment Subject Char"/>
    <w:basedOn w:val="CommentTextChar"/>
    <w:link w:val="CommentSubject"/>
    <w:uiPriority w:val="99"/>
    <w:semiHidden/>
    <w:rsid w:val="00D35BDB"/>
    <w:rPr>
      <w:b/>
      <w:bCs/>
      <w:sz w:val="20"/>
      <w:szCs w:val="20"/>
    </w:rPr>
  </w:style>
  <w:style w:type="table" w:styleId="TableGrid">
    <w:name w:val="Table Grid"/>
    <w:basedOn w:val="TableNormal"/>
    <w:uiPriority w:val="39"/>
    <w:rsid w:val="00A64DBA"/>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3E2"/>
    <w:rPr>
      <w:color w:val="0000FF"/>
      <w:u w:val="single"/>
    </w:rPr>
  </w:style>
  <w:style w:type="paragraph" w:styleId="Revision">
    <w:name w:val="Revision"/>
    <w:hidden/>
    <w:uiPriority w:val="99"/>
    <w:semiHidden/>
    <w:rsid w:val="00E41CCB"/>
    <w:pPr>
      <w:ind w:left="0"/>
    </w:pPr>
  </w:style>
  <w:style w:type="paragraph" w:styleId="EndnoteText">
    <w:name w:val="endnote text"/>
    <w:basedOn w:val="Normal"/>
    <w:link w:val="EndnoteTextChar"/>
    <w:uiPriority w:val="99"/>
    <w:unhideWhenUsed/>
    <w:rsid w:val="00596A26"/>
    <w:pPr>
      <w:ind w:left="0"/>
    </w:pPr>
    <w:rPr>
      <w:rFonts w:eastAsiaTheme="minorHAnsi" w:cstheme="minorBidi"/>
      <w:color w:val="auto"/>
      <w:sz w:val="20"/>
      <w:szCs w:val="20"/>
    </w:rPr>
  </w:style>
  <w:style w:type="character" w:customStyle="1" w:styleId="EndnoteTextChar">
    <w:name w:val="Endnote Text Char"/>
    <w:basedOn w:val="DefaultParagraphFont"/>
    <w:link w:val="EndnoteText"/>
    <w:uiPriority w:val="99"/>
    <w:rsid w:val="00596A26"/>
    <w:rPr>
      <w:rFonts w:eastAsiaTheme="minorHAnsi" w:cstheme="minorBidi"/>
      <w:color w:val="auto"/>
      <w:sz w:val="20"/>
      <w:szCs w:val="20"/>
    </w:rPr>
  </w:style>
  <w:style w:type="character" w:styleId="EndnoteReference">
    <w:name w:val="endnote reference"/>
    <w:basedOn w:val="DefaultParagraphFont"/>
    <w:uiPriority w:val="99"/>
    <w:unhideWhenUsed/>
    <w:rsid w:val="00596A26"/>
    <w:rPr>
      <w:vertAlign w:val="superscript"/>
    </w:rPr>
  </w:style>
  <w:style w:type="paragraph" w:styleId="Header">
    <w:name w:val="header"/>
    <w:basedOn w:val="Normal"/>
    <w:link w:val="HeaderChar"/>
    <w:uiPriority w:val="99"/>
    <w:unhideWhenUsed/>
    <w:rsid w:val="00596A26"/>
    <w:pPr>
      <w:tabs>
        <w:tab w:val="center" w:pos="4680"/>
        <w:tab w:val="right" w:pos="9360"/>
      </w:tabs>
      <w:ind w:left="0"/>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596A26"/>
    <w:rPr>
      <w:rFonts w:asciiTheme="minorHAnsi" w:eastAsiaTheme="minorHAnsi" w:hAnsiTheme="minorHAnsi" w:cstheme="minorBidi"/>
      <w:color w:val="auto"/>
      <w:sz w:val="22"/>
      <w:szCs w:val="22"/>
    </w:rPr>
  </w:style>
  <w:style w:type="paragraph" w:styleId="ListParagraph">
    <w:name w:val="List Paragraph"/>
    <w:basedOn w:val="Normal"/>
    <w:uiPriority w:val="34"/>
    <w:qFormat/>
    <w:rsid w:val="000E6198"/>
    <w:pPr>
      <w:contextualSpacing/>
    </w:pPr>
  </w:style>
  <w:style w:type="paragraph" w:styleId="NormalWeb">
    <w:name w:val="Normal (Web)"/>
    <w:basedOn w:val="Normal"/>
    <w:uiPriority w:val="99"/>
    <w:semiHidden/>
    <w:unhideWhenUsed/>
    <w:rsid w:val="006C4B73"/>
  </w:style>
  <w:style w:type="paragraph" w:styleId="FootnoteText">
    <w:name w:val="footnote text"/>
    <w:basedOn w:val="Normal"/>
    <w:link w:val="FootnoteTextChar"/>
    <w:uiPriority w:val="99"/>
    <w:unhideWhenUsed/>
    <w:rsid w:val="000A1295"/>
    <w:pPr>
      <w:ind w:left="0"/>
    </w:pPr>
    <w:rPr>
      <w:rFonts w:eastAsiaTheme="minorHAnsi"/>
      <w:color w:val="auto"/>
      <w:sz w:val="20"/>
      <w:szCs w:val="20"/>
    </w:rPr>
  </w:style>
  <w:style w:type="character" w:customStyle="1" w:styleId="FootnoteTextChar">
    <w:name w:val="Footnote Text Char"/>
    <w:basedOn w:val="DefaultParagraphFont"/>
    <w:link w:val="FootnoteText"/>
    <w:uiPriority w:val="99"/>
    <w:rsid w:val="000A1295"/>
    <w:rPr>
      <w:rFonts w:eastAsiaTheme="minorHAnsi"/>
      <w:color w:val="auto"/>
      <w:sz w:val="20"/>
      <w:szCs w:val="20"/>
    </w:rPr>
  </w:style>
  <w:style w:type="character" w:styleId="FootnoteReference">
    <w:name w:val="footnote reference"/>
    <w:basedOn w:val="DefaultParagraphFont"/>
    <w:uiPriority w:val="99"/>
    <w:unhideWhenUsed/>
    <w:rsid w:val="000A1295"/>
    <w:rPr>
      <w:vertAlign w:val="superscript"/>
    </w:rPr>
  </w:style>
  <w:style w:type="table" w:customStyle="1" w:styleId="TableGrid1">
    <w:name w:val="Table Grid1"/>
    <w:basedOn w:val="TableNormal"/>
    <w:next w:val="TableGrid"/>
    <w:uiPriority w:val="39"/>
    <w:rsid w:val="006B5537"/>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821D7"/>
  </w:style>
  <w:style w:type="character" w:styleId="Emphasis">
    <w:name w:val="Emphasis"/>
    <w:basedOn w:val="DefaultParagraphFont"/>
    <w:uiPriority w:val="20"/>
    <w:qFormat/>
    <w:rsid w:val="008821D7"/>
    <w:rPr>
      <w:i/>
      <w:iCs/>
    </w:rPr>
  </w:style>
  <w:style w:type="character" w:styleId="FollowedHyperlink">
    <w:name w:val="FollowedHyperlink"/>
    <w:basedOn w:val="DefaultParagraphFont"/>
    <w:uiPriority w:val="99"/>
    <w:semiHidden/>
    <w:unhideWhenUsed/>
    <w:rsid w:val="00594CB2"/>
    <w:rPr>
      <w:color w:val="954F72" w:themeColor="followedHyperlink"/>
      <w:u w:val="single"/>
    </w:rPr>
  </w:style>
  <w:style w:type="table" w:customStyle="1" w:styleId="TableGrid11">
    <w:name w:val="Table Grid11"/>
    <w:basedOn w:val="TableNormal"/>
    <w:next w:val="TableGrid"/>
    <w:uiPriority w:val="39"/>
    <w:rsid w:val="00712770"/>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E51BF"/>
    <w:pPr>
      <w:tabs>
        <w:tab w:val="center" w:pos="4680"/>
        <w:tab w:val="right" w:pos="9360"/>
      </w:tabs>
    </w:pPr>
  </w:style>
  <w:style w:type="character" w:customStyle="1" w:styleId="FooterChar">
    <w:name w:val="Footer Char"/>
    <w:basedOn w:val="DefaultParagraphFont"/>
    <w:link w:val="Footer"/>
    <w:uiPriority w:val="99"/>
    <w:rsid w:val="00FE51BF"/>
  </w:style>
  <w:style w:type="table" w:customStyle="1" w:styleId="TableGrid2">
    <w:name w:val="Table Grid2"/>
    <w:basedOn w:val="TableNormal"/>
    <w:uiPriority w:val="39"/>
    <w:rsid w:val="00527720"/>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27720"/>
    <w:pPr>
      <w:autoSpaceDE w:val="0"/>
      <w:autoSpaceDN w:val="0"/>
      <w:adjustRightInd w:val="0"/>
      <w:ind w:left="0"/>
    </w:pPr>
    <w:rPr>
      <w:rFonts w:ascii="Arial" w:hAnsi="Arial" w:cs="Arial"/>
    </w:rPr>
  </w:style>
  <w:style w:type="table" w:customStyle="1" w:styleId="TableGrid3">
    <w:name w:val="Table Grid3"/>
    <w:basedOn w:val="TableNormal"/>
    <w:uiPriority w:val="39"/>
    <w:rsid w:val="004559AD"/>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A604F"/>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F86F85"/>
    <w:pPr>
      <w:ind w:left="0"/>
    </w:pPr>
    <w:rPr>
      <w:b/>
      <w:i/>
      <w:color w:val="auto"/>
    </w:rPr>
  </w:style>
  <w:style w:type="table" w:customStyle="1" w:styleId="TableGrid5">
    <w:name w:val="Table Grid5"/>
    <w:basedOn w:val="TableNormal"/>
    <w:next w:val="TableGrid"/>
    <w:uiPriority w:val="39"/>
    <w:rsid w:val="00CC6444"/>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D1DDD"/>
    <w:pPr>
      <w:widowControl w:val="0"/>
      <w:tabs>
        <w:tab w:val="left" w:pos="0"/>
        <w:tab w:val="right" w:pos="9360"/>
      </w:tabs>
      <w:autoSpaceDE w:val="0"/>
      <w:autoSpaceDN w:val="0"/>
      <w:adjustRightInd w:val="0"/>
      <w:ind w:left="0"/>
      <w:jc w:val="both"/>
    </w:pPr>
    <w:rPr>
      <w:color w:val="auto"/>
      <w:sz w:val="20"/>
    </w:rPr>
  </w:style>
  <w:style w:type="character" w:customStyle="1" w:styleId="Heading1Char">
    <w:name w:val="Heading 1 Char"/>
    <w:link w:val="Heading1"/>
    <w:rsid w:val="00641905"/>
    <w:rPr>
      <w:rFonts w:ascii="Cambria" w:eastAsia="Cambria" w:hAnsi="Cambria" w:cs="Cambria"/>
      <w:color w:val="366091"/>
      <w:sz w:val="32"/>
      <w:szCs w:val="32"/>
    </w:rPr>
  </w:style>
  <w:style w:type="character" w:styleId="HTMLCode">
    <w:name w:val="HTML Code"/>
    <w:basedOn w:val="DefaultParagraphFont"/>
    <w:semiHidden/>
    <w:unhideWhenUsed/>
    <w:rsid w:val="00E47737"/>
    <w:rPr>
      <w:rFonts w:ascii="Courier New" w:eastAsia="Times New Roman" w:hAnsi="Courier New" w:cs="Courier New" w:hint="default"/>
      <w:sz w:val="20"/>
      <w:szCs w:val="20"/>
    </w:rPr>
  </w:style>
  <w:style w:type="character" w:customStyle="1" w:styleId="UnresolvedMention1">
    <w:name w:val="Unresolved Mention1"/>
    <w:basedOn w:val="DefaultParagraphFont"/>
    <w:uiPriority w:val="99"/>
    <w:semiHidden/>
    <w:unhideWhenUsed/>
    <w:rsid w:val="00244BBA"/>
    <w:rPr>
      <w:color w:val="808080"/>
      <w:shd w:val="clear" w:color="auto" w:fill="E6E6E6"/>
    </w:rPr>
  </w:style>
  <w:style w:type="character" w:customStyle="1" w:styleId="UnresolvedMention2">
    <w:name w:val="Unresolved Mention2"/>
    <w:basedOn w:val="DefaultParagraphFont"/>
    <w:uiPriority w:val="99"/>
    <w:semiHidden/>
    <w:unhideWhenUsed/>
    <w:rsid w:val="002419B0"/>
    <w:rPr>
      <w:color w:val="808080"/>
      <w:shd w:val="clear" w:color="auto" w:fill="E6E6E6"/>
    </w:rPr>
  </w:style>
  <w:style w:type="character" w:customStyle="1" w:styleId="UnresolvedMention3">
    <w:name w:val="Unresolved Mention3"/>
    <w:basedOn w:val="DefaultParagraphFont"/>
    <w:uiPriority w:val="99"/>
    <w:semiHidden/>
    <w:unhideWhenUsed/>
    <w:rsid w:val="00CE6B73"/>
    <w:rPr>
      <w:color w:val="808080"/>
      <w:shd w:val="clear" w:color="auto" w:fill="E6E6E6"/>
    </w:rPr>
  </w:style>
  <w:style w:type="table" w:customStyle="1" w:styleId="TableGrid31">
    <w:name w:val="Table Grid31"/>
    <w:basedOn w:val="TableNormal"/>
    <w:uiPriority w:val="39"/>
    <w:rsid w:val="00CA69EE"/>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4">
    <w:name w:val="Unresolved Mention4"/>
    <w:basedOn w:val="DefaultParagraphFont"/>
    <w:uiPriority w:val="99"/>
    <w:semiHidden/>
    <w:unhideWhenUsed/>
    <w:rsid w:val="00203E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133">
      <w:bodyDiv w:val="1"/>
      <w:marLeft w:val="0"/>
      <w:marRight w:val="0"/>
      <w:marTop w:val="0"/>
      <w:marBottom w:val="0"/>
      <w:divBdr>
        <w:top w:val="none" w:sz="0" w:space="0" w:color="auto"/>
        <w:left w:val="none" w:sz="0" w:space="0" w:color="auto"/>
        <w:bottom w:val="none" w:sz="0" w:space="0" w:color="auto"/>
        <w:right w:val="none" w:sz="0" w:space="0" w:color="auto"/>
      </w:divBdr>
    </w:div>
    <w:div w:id="78790290">
      <w:bodyDiv w:val="1"/>
      <w:marLeft w:val="0"/>
      <w:marRight w:val="0"/>
      <w:marTop w:val="0"/>
      <w:marBottom w:val="0"/>
      <w:divBdr>
        <w:top w:val="none" w:sz="0" w:space="0" w:color="auto"/>
        <w:left w:val="none" w:sz="0" w:space="0" w:color="auto"/>
        <w:bottom w:val="none" w:sz="0" w:space="0" w:color="auto"/>
        <w:right w:val="none" w:sz="0" w:space="0" w:color="auto"/>
      </w:divBdr>
    </w:div>
    <w:div w:id="122818960">
      <w:bodyDiv w:val="1"/>
      <w:marLeft w:val="0"/>
      <w:marRight w:val="0"/>
      <w:marTop w:val="0"/>
      <w:marBottom w:val="0"/>
      <w:divBdr>
        <w:top w:val="none" w:sz="0" w:space="0" w:color="auto"/>
        <w:left w:val="none" w:sz="0" w:space="0" w:color="auto"/>
        <w:bottom w:val="none" w:sz="0" w:space="0" w:color="auto"/>
        <w:right w:val="none" w:sz="0" w:space="0" w:color="auto"/>
      </w:divBdr>
    </w:div>
    <w:div w:id="128934531">
      <w:bodyDiv w:val="1"/>
      <w:marLeft w:val="0"/>
      <w:marRight w:val="0"/>
      <w:marTop w:val="0"/>
      <w:marBottom w:val="0"/>
      <w:divBdr>
        <w:top w:val="none" w:sz="0" w:space="0" w:color="auto"/>
        <w:left w:val="none" w:sz="0" w:space="0" w:color="auto"/>
        <w:bottom w:val="none" w:sz="0" w:space="0" w:color="auto"/>
        <w:right w:val="none" w:sz="0" w:space="0" w:color="auto"/>
      </w:divBdr>
    </w:div>
    <w:div w:id="176507047">
      <w:bodyDiv w:val="1"/>
      <w:marLeft w:val="0"/>
      <w:marRight w:val="0"/>
      <w:marTop w:val="0"/>
      <w:marBottom w:val="0"/>
      <w:divBdr>
        <w:top w:val="none" w:sz="0" w:space="0" w:color="auto"/>
        <w:left w:val="none" w:sz="0" w:space="0" w:color="auto"/>
        <w:bottom w:val="none" w:sz="0" w:space="0" w:color="auto"/>
        <w:right w:val="none" w:sz="0" w:space="0" w:color="auto"/>
      </w:divBdr>
    </w:div>
    <w:div w:id="198012832">
      <w:bodyDiv w:val="1"/>
      <w:marLeft w:val="0"/>
      <w:marRight w:val="0"/>
      <w:marTop w:val="0"/>
      <w:marBottom w:val="0"/>
      <w:divBdr>
        <w:top w:val="none" w:sz="0" w:space="0" w:color="auto"/>
        <w:left w:val="none" w:sz="0" w:space="0" w:color="auto"/>
        <w:bottom w:val="none" w:sz="0" w:space="0" w:color="auto"/>
        <w:right w:val="none" w:sz="0" w:space="0" w:color="auto"/>
      </w:divBdr>
    </w:div>
    <w:div w:id="220403756">
      <w:bodyDiv w:val="1"/>
      <w:marLeft w:val="0"/>
      <w:marRight w:val="0"/>
      <w:marTop w:val="0"/>
      <w:marBottom w:val="0"/>
      <w:divBdr>
        <w:top w:val="none" w:sz="0" w:space="0" w:color="auto"/>
        <w:left w:val="none" w:sz="0" w:space="0" w:color="auto"/>
        <w:bottom w:val="none" w:sz="0" w:space="0" w:color="auto"/>
        <w:right w:val="none" w:sz="0" w:space="0" w:color="auto"/>
      </w:divBdr>
    </w:div>
    <w:div w:id="283385863">
      <w:bodyDiv w:val="1"/>
      <w:marLeft w:val="0"/>
      <w:marRight w:val="0"/>
      <w:marTop w:val="0"/>
      <w:marBottom w:val="0"/>
      <w:divBdr>
        <w:top w:val="none" w:sz="0" w:space="0" w:color="auto"/>
        <w:left w:val="none" w:sz="0" w:space="0" w:color="auto"/>
        <w:bottom w:val="none" w:sz="0" w:space="0" w:color="auto"/>
        <w:right w:val="none" w:sz="0" w:space="0" w:color="auto"/>
      </w:divBdr>
    </w:div>
    <w:div w:id="346830890">
      <w:bodyDiv w:val="1"/>
      <w:marLeft w:val="0"/>
      <w:marRight w:val="0"/>
      <w:marTop w:val="0"/>
      <w:marBottom w:val="0"/>
      <w:divBdr>
        <w:top w:val="none" w:sz="0" w:space="0" w:color="auto"/>
        <w:left w:val="none" w:sz="0" w:space="0" w:color="auto"/>
        <w:bottom w:val="none" w:sz="0" w:space="0" w:color="auto"/>
        <w:right w:val="none" w:sz="0" w:space="0" w:color="auto"/>
      </w:divBdr>
    </w:div>
    <w:div w:id="387538180">
      <w:bodyDiv w:val="1"/>
      <w:marLeft w:val="0"/>
      <w:marRight w:val="0"/>
      <w:marTop w:val="0"/>
      <w:marBottom w:val="0"/>
      <w:divBdr>
        <w:top w:val="none" w:sz="0" w:space="0" w:color="auto"/>
        <w:left w:val="none" w:sz="0" w:space="0" w:color="auto"/>
        <w:bottom w:val="none" w:sz="0" w:space="0" w:color="auto"/>
        <w:right w:val="none" w:sz="0" w:space="0" w:color="auto"/>
      </w:divBdr>
    </w:div>
    <w:div w:id="442185941">
      <w:bodyDiv w:val="1"/>
      <w:marLeft w:val="0"/>
      <w:marRight w:val="0"/>
      <w:marTop w:val="0"/>
      <w:marBottom w:val="0"/>
      <w:divBdr>
        <w:top w:val="none" w:sz="0" w:space="0" w:color="auto"/>
        <w:left w:val="none" w:sz="0" w:space="0" w:color="auto"/>
        <w:bottom w:val="none" w:sz="0" w:space="0" w:color="auto"/>
        <w:right w:val="none" w:sz="0" w:space="0" w:color="auto"/>
      </w:divBdr>
    </w:div>
    <w:div w:id="483282932">
      <w:bodyDiv w:val="1"/>
      <w:marLeft w:val="0"/>
      <w:marRight w:val="0"/>
      <w:marTop w:val="0"/>
      <w:marBottom w:val="0"/>
      <w:divBdr>
        <w:top w:val="none" w:sz="0" w:space="0" w:color="auto"/>
        <w:left w:val="none" w:sz="0" w:space="0" w:color="auto"/>
        <w:bottom w:val="none" w:sz="0" w:space="0" w:color="auto"/>
        <w:right w:val="none" w:sz="0" w:space="0" w:color="auto"/>
      </w:divBdr>
    </w:div>
    <w:div w:id="503671799">
      <w:bodyDiv w:val="1"/>
      <w:marLeft w:val="0"/>
      <w:marRight w:val="0"/>
      <w:marTop w:val="0"/>
      <w:marBottom w:val="0"/>
      <w:divBdr>
        <w:top w:val="none" w:sz="0" w:space="0" w:color="auto"/>
        <w:left w:val="none" w:sz="0" w:space="0" w:color="auto"/>
        <w:bottom w:val="none" w:sz="0" w:space="0" w:color="auto"/>
        <w:right w:val="none" w:sz="0" w:space="0" w:color="auto"/>
      </w:divBdr>
    </w:div>
    <w:div w:id="609246198">
      <w:bodyDiv w:val="1"/>
      <w:marLeft w:val="0"/>
      <w:marRight w:val="0"/>
      <w:marTop w:val="0"/>
      <w:marBottom w:val="0"/>
      <w:divBdr>
        <w:top w:val="none" w:sz="0" w:space="0" w:color="auto"/>
        <w:left w:val="none" w:sz="0" w:space="0" w:color="auto"/>
        <w:bottom w:val="none" w:sz="0" w:space="0" w:color="auto"/>
        <w:right w:val="none" w:sz="0" w:space="0" w:color="auto"/>
      </w:divBdr>
    </w:div>
    <w:div w:id="661009956">
      <w:bodyDiv w:val="1"/>
      <w:marLeft w:val="0"/>
      <w:marRight w:val="0"/>
      <w:marTop w:val="0"/>
      <w:marBottom w:val="0"/>
      <w:divBdr>
        <w:top w:val="none" w:sz="0" w:space="0" w:color="auto"/>
        <w:left w:val="none" w:sz="0" w:space="0" w:color="auto"/>
        <w:bottom w:val="none" w:sz="0" w:space="0" w:color="auto"/>
        <w:right w:val="none" w:sz="0" w:space="0" w:color="auto"/>
      </w:divBdr>
    </w:div>
    <w:div w:id="664479194">
      <w:bodyDiv w:val="1"/>
      <w:marLeft w:val="0"/>
      <w:marRight w:val="0"/>
      <w:marTop w:val="0"/>
      <w:marBottom w:val="0"/>
      <w:divBdr>
        <w:top w:val="none" w:sz="0" w:space="0" w:color="auto"/>
        <w:left w:val="none" w:sz="0" w:space="0" w:color="auto"/>
        <w:bottom w:val="none" w:sz="0" w:space="0" w:color="auto"/>
        <w:right w:val="none" w:sz="0" w:space="0" w:color="auto"/>
      </w:divBdr>
    </w:div>
    <w:div w:id="695078712">
      <w:bodyDiv w:val="1"/>
      <w:marLeft w:val="0"/>
      <w:marRight w:val="0"/>
      <w:marTop w:val="0"/>
      <w:marBottom w:val="0"/>
      <w:divBdr>
        <w:top w:val="none" w:sz="0" w:space="0" w:color="auto"/>
        <w:left w:val="none" w:sz="0" w:space="0" w:color="auto"/>
        <w:bottom w:val="none" w:sz="0" w:space="0" w:color="auto"/>
        <w:right w:val="none" w:sz="0" w:space="0" w:color="auto"/>
      </w:divBdr>
    </w:div>
    <w:div w:id="699209620">
      <w:bodyDiv w:val="1"/>
      <w:marLeft w:val="0"/>
      <w:marRight w:val="0"/>
      <w:marTop w:val="0"/>
      <w:marBottom w:val="0"/>
      <w:divBdr>
        <w:top w:val="none" w:sz="0" w:space="0" w:color="auto"/>
        <w:left w:val="none" w:sz="0" w:space="0" w:color="auto"/>
        <w:bottom w:val="none" w:sz="0" w:space="0" w:color="auto"/>
        <w:right w:val="none" w:sz="0" w:space="0" w:color="auto"/>
      </w:divBdr>
    </w:div>
    <w:div w:id="716970664">
      <w:bodyDiv w:val="1"/>
      <w:marLeft w:val="0"/>
      <w:marRight w:val="0"/>
      <w:marTop w:val="0"/>
      <w:marBottom w:val="0"/>
      <w:divBdr>
        <w:top w:val="none" w:sz="0" w:space="0" w:color="auto"/>
        <w:left w:val="none" w:sz="0" w:space="0" w:color="auto"/>
        <w:bottom w:val="none" w:sz="0" w:space="0" w:color="auto"/>
        <w:right w:val="none" w:sz="0" w:space="0" w:color="auto"/>
      </w:divBdr>
    </w:div>
    <w:div w:id="733702684">
      <w:bodyDiv w:val="1"/>
      <w:marLeft w:val="0"/>
      <w:marRight w:val="0"/>
      <w:marTop w:val="0"/>
      <w:marBottom w:val="0"/>
      <w:divBdr>
        <w:top w:val="none" w:sz="0" w:space="0" w:color="auto"/>
        <w:left w:val="none" w:sz="0" w:space="0" w:color="auto"/>
        <w:bottom w:val="none" w:sz="0" w:space="0" w:color="auto"/>
        <w:right w:val="none" w:sz="0" w:space="0" w:color="auto"/>
      </w:divBdr>
    </w:div>
    <w:div w:id="799765020">
      <w:bodyDiv w:val="1"/>
      <w:marLeft w:val="0"/>
      <w:marRight w:val="0"/>
      <w:marTop w:val="0"/>
      <w:marBottom w:val="0"/>
      <w:divBdr>
        <w:top w:val="none" w:sz="0" w:space="0" w:color="auto"/>
        <w:left w:val="none" w:sz="0" w:space="0" w:color="auto"/>
        <w:bottom w:val="none" w:sz="0" w:space="0" w:color="auto"/>
        <w:right w:val="none" w:sz="0" w:space="0" w:color="auto"/>
      </w:divBdr>
    </w:div>
    <w:div w:id="850951099">
      <w:bodyDiv w:val="1"/>
      <w:marLeft w:val="0"/>
      <w:marRight w:val="0"/>
      <w:marTop w:val="0"/>
      <w:marBottom w:val="0"/>
      <w:divBdr>
        <w:top w:val="none" w:sz="0" w:space="0" w:color="auto"/>
        <w:left w:val="none" w:sz="0" w:space="0" w:color="auto"/>
        <w:bottom w:val="none" w:sz="0" w:space="0" w:color="auto"/>
        <w:right w:val="none" w:sz="0" w:space="0" w:color="auto"/>
      </w:divBdr>
    </w:div>
    <w:div w:id="854460887">
      <w:bodyDiv w:val="1"/>
      <w:marLeft w:val="0"/>
      <w:marRight w:val="0"/>
      <w:marTop w:val="0"/>
      <w:marBottom w:val="0"/>
      <w:divBdr>
        <w:top w:val="none" w:sz="0" w:space="0" w:color="auto"/>
        <w:left w:val="none" w:sz="0" w:space="0" w:color="auto"/>
        <w:bottom w:val="none" w:sz="0" w:space="0" w:color="auto"/>
        <w:right w:val="none" w:sz="0" w:space="0" w:color="auto"/>
      </w:divBdr>
    </w:div>
    <w:div w:id="997273882">
      <w:bodyDiv w:val="1"/>
      <w:marLeft w:val="0"/>
      <w:marRight w:val="0"/>
      <w:marTop w:val="0"/>
      <w:marBottom w:val="0"/>
      <w:divBdr>
        <w:top w:val="none" w:sz="0" w:space="0" w:color="auto"/>
        <w:left w:val="none" w:sz="0" w:space="0" w:color="auto"/>
        <w:bottom w:val="none" w:sz="0" w:space="0" w:color="auto"/>
        <w:right w:val="none" w:sz="0" w:space="0" w:color="auto"/>
      </w:divBdr>
    </w:div>
    <w:div w:id="1097556670">
      <w:bodyDiv w:val="1"/>
      <w:marLeft w:val="0"/>
      <w:marRight w:val="0"/>
      <w:marTop w:val="0"/>
      <w:marBottom w:val="0"/>
      <w:divBdr>
        <w:top w:val="none" w:sz="0" w:space="0" w:color="auto"/>
        <w:left w:val="none" w:sz="0" w:space="0" w:color="auto"/>
        <w:bottom w:val="none" w:sz="0" w:space="0" w:color="auto"/>
        <w:right w:val="none" w:sz="0" w:space="0" w:color="auto"/>
      </w:divBdr>
    </w:div>
    <w:div w:id="1125538291">
      <w:bodyDiv w:val="1"/>
      <w:marLeft w:val="0"/>
      <w:marRight w:val="0"/>
      <w:marTop w:val="0"/>
      <w:marBottom w:val="0"/>
      <w:divBdr>
        <w:top w:val="none" w:sz="0" w:space="0" w:color="auto"/>
        <w:left w:val="none" w:sz="0" w:space="0" w:color="auto"/>
        <w:bottom w:val="none" w:sz="0" w:space="0" w:color="auto"/>
        <w:right w:val="none" w:sz="0" w:space="0" w:color="auto"/>
      </w:divBdr>
    </w:div>
    <w:div w:id="1145246234">
      <w:bodyDiv w:val="1"/>
      <w:marLeft w:val="0"/>
      <w:marRight w:val="0"/>
      <w:marTop w:val="0"/>
      <w:marBottom w:val="0"/>
      <w:divBdr>
        <w:top w:val="none" w:sz="0" w:space="0" w:color="auto"/>
        <w:left w:val="none" w:sz="0" w:space="0" w:color="auto"/>
        <w:bottom w:val="none" w:sz="0" w:space="0" w:color="auto"/>
        <w:right w:val="none" w:sz="0" w:space="0" w:color="auto"/>
      </w:divBdr>
    </w:div>
    <w:div w:id="1222912159">
      <w:bodyDiv w:val="1"/>
      <w:marLeft w:val="0"/>
      <w:marRight w:val="0"/>
      <w:marTop w:val="0"/>
      <w:marBottom w:val="0"/>
      <w:divBdr>
        <w:top w:val="none" w:sz="0" w:space="0" w:color="auto"/>
        <w:left w:val="none" w:sz="0" w:space="0" w:color="auto"/>
        <w:bottom w:val="none" w:sz="0" w:space="0" w:color="auto"/>
        <w:right w:val="none" w:sz="0" w:space="0" w:color="auto"/>
      </w:divBdr>
    </w:div>
    <w:div w:id="1253466398">
      <w:bodyDiv w:val="1"/>
      <w:marLeft w:val="0"/>
      <w:marRight w:val="0"/>
      <w:marTop w:val="0"/>
      <w:marBottom w:val="0"/>
      <w:divBdr>
        <w:top w:val="none" w:sz="0" w:space="0" w:color="auto"/>
        <w:left w:val="none" w:sz="0" w:space="0" w:color="auto"/>
        <w:bottom w:val="none" w:sz="0" w:space="0" w:color="auto"/>
        <w:right w:val="none" w:sz="0" w:space="0" w:color="auto"/>
      </w:divBdr>
    </w:div>
    <w:div w:id="1256784210">
      <w:bodyDiv w:val="1"/>
      <w:marLeft w:val="0"/>
      <w:marRight w:val="0"/>
      <w:marTop w:val="0"/>
      <w:marBottom w:val="0"/>
      <w:divBdr>
        <w:top w:val="none" w:sz="0" w:space="0" w:color="auto"/>
        <w:left w:val="none" w:sz="0" w:space="0" w:color="auto"/>
        <w:bottom w:val="none" w:sz="0" w:space="0" w:color="auto"/>
        <w:right w:val="none" w:sz="0" w:space="0" w:color="auto"/>
      </w:divBdr>
    </w:div>
    <w:div w:id="1320187684">
      <w:bodyDiv w:val="1"/>
      <w:marLeft w:val="0"/>
      <w:marRight w:val="0"/>
      <w:marTop w:val="0"/>
      <w:marBottom w:val="0"/>
      <w:divBdr>
        <w:top w:val="none" w:sz="0" w:space="0" w:color="auto"/>
        <w:left w:val="none" w:sz="0" w:space="0" w:color="auto"/>
        <w:bottom w:val="none" w:sz="0" w:space="0" w:color="auto"/>
        <w:right w:val="none" w:sz="0" w:space="0" w:color="auto"/>
      </w:divBdr>
    </w:div>
    <w:div w:id="1395659164">
      <w:bodyDiv w:val="1"/>
      <w:marLeft w:val="0"/>
      <w:marRight w:val="0"/>
      <w:marTop w:val="0"/>
      <w:marBottom w:val="0"/>
      <w:divBdr>
        <w:top w:val="none" w:sz="0" w:space="0" w:color="auto"/>
        <w:left w:val="none" w:sz="0" w:space="0" w:color="auto"/>
        <w:bottom w:val="none" w:sz="0" w:space="0" w:color="auto"/>
        <w:right w:val="none" w:sz="0" w:space="0" w:color="auto"/>
      </w:divBdr>
      <w:divsChild>
        <w:div w:id="880747761">
          <w:marLeft w:val="0"/>
          <w:marRight w:val="0"/>
          <w:marTop w:val="0"/>
          <w:marBottom w:val="0"/>
          <w:divBdr>
            <w:top w:val="none" w:sz="0" w:space="0" w:color="auto"/>
            <w:left w:val="none" w:sz="0" w:space="0" w:color="auto"/>
            <w:bottom w:val="none" w:sz="0" w:space="0" w:color="auto"/>
            <w:right w:val="none" w:sz="0" w:space="0" w:color="auto"/>
          </w:divBdr>
          <w:divsChild>
            <w:div w:id="1177960821">
              <w:marLeft w:val="0"/>
              <w:marRight w:val="0"/>
              <w:marTop w:val="0"/>
              <w:marBottom w:val="0"/>
              <w:divBdr>
                <w:top w:val="none" w:sz="0" w:space="0" w:color="auto"/>
                <w:left w:val="none" w:sz="0" w:space="0" w:color="auto"/>
                <w:bottom w:val="none" w:sz="0" w:space="0" w:color="auto"/>
                <w:right w:val="none" w:sz="0" w:space="0" w:color="auto"/>
              </w:divBdr>
              <w:divsChild>
                <w:div w:id="2107185335">
                  <w:marLeft w:val="0"/>
                  <w:marRight w:val="0"/>
                  <w:marTop w:val="0"/>
                  <w:marBottom w:val="0"/>
                  <w:divBdr>
                    <w:top w:val="single" w:sz="6" w:space="0" w:color="339933"/>
                    <w:left w:val="none" w:sz="0" w:space="0" w:color="auto"/>
                    <w:bottom w:val="none" w:sz="0" w:space="0" w:color="auto"/>
                    <w:right w:val="none" w:sz="0" w:space="0" w:color="auto"/>
                  </w:divBdr>
                  <w:divsChild>
                    <w:div w:id="854809850">
                      <w:marLeft w:val="0"/>
                      <w:marRight w:val="0"/>
                      <w:marTop w:val="0"/>
                      <w:marBottom w:val="0"/>
                      <w:divBdr>
                        <w:top w:val="none" w:sz="0" w:space="0" w:color="auto"/>
                        <w:left w:val="none" w:sz="0" w:space="0" w:color="auto"/>
                        <w:bottom w:val="none" w:sz="0" w:space="0" w:color="auto"/>
                        <w:right w:val="none" w:sz="0" w:space="0" w:color="auto"/>
                      </w:divBdr>
                      <w:divsChild>
                        <w:div w:id="2138644303">
                          <w:marLeft w:val="0"/>
                          <w:marRight w:val="0"/>
                          <w:marTop w:val="0"/>
                          <w:marBottom w:val="0"/>
                          <w:divBdr>
                            <w:top w:val="none" w:sz="0" w:space="0" w:color="auto"/>
                            <w:left w:val="none" w:sz="0" w:space="0" w:color="auto"/>
                            <w:bottom w:val="none" w:sz="0" w:space="0" w:color="auto"/>
                            <w:right w:val="none" w:sz="0" w:space="0" w:color="auto"/>
                          </w:divBdr>
                          <w:divsChild>
                            <w:div w:id="2257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2208">
      <w:bodyDiv w:val="1"/>
      <w:marLeft w:val="0"/>
      <w:marRight w:val="0"/>
      <w:marTop w:val="0"/>
      <w:marBottom w:val="0"/>
      <w:divBdr>
        <w:top w:val="none" w:sz="0" w:space="0" w:color="auto"/>
        <w:left w:val="none" w:sz="0" w:space="0" w:color="auto"/>
        <w:bottom w:val="none" w:sz="0" w:space="0" w:color="auto"/>
        <w:right w:val="none" w:sz="0" w:space="0" w:color="auto"/>
      </w:divBdr>
    </w:div>
    <w:div w:id="1558780846">
      <w:bodyDiv w:val="1"/>
      <w:marLeft w:val="0"/>
      <w:marRight w:val="0"/>
      <w:marTop w:val="0"/>
      <w:marBottom w:val="0"/>
      <w:divBdr>
        <w:top w:val="none" w:sz="0" w:space="0" w:color="auto"/>
        <w:left w:val="none" w:sz="0" w:space="0" w:color="auto"/>
        <w:bottom w:val="none" w:sz="0" w:space="0" w:color="auto"/>
        <w:right w:val="none" w:sz="0" w:space="0" w:color="auto"/>
      </w:divBdr>
    </w:div>
    <w:div w:id="1564681353">
      <w:bodyDiv w:val="1"/>
      <w:marLeft w:val="0"/>
      <w:marRight w:val="0"/>
      <w:marTop w:val="0"/>
      <w:marBottom w:val="0"/>
      <w:divBdr>
        <w:top w:val="none" w:sz="0" w:space="0" w:color="auto"/>
        <w:left w:val="none" w:sz="0" w:space="0" w:color="auto"/>
        <w:bottom w:val="none" w:sz="0" w:space="0" w:color="auto"/>
        <w:right w:val="none" w:sz="0" w:space="0" w:color="auto"/>
      </w:divBdr>
    </w:div>
    <w:div w:id="1598252359">
      <w:bodyDiv w:val="1"/>
      <w:marLeft w:val="0"/>
      <w:marRight w:val="0"/>
      <w:marTop w:val="0"/>
      <w:marBottom w:val="0"/>
      <w:divBdr>
        <w:top w:val="none" w:sz="0" w:space="0" w:color="auto"/>
        <w:left w:val="none" w:sz="0" w:space="0" w:color="auto"/>
        <w:bottom w:val="none" w:sz="0" w:space="0" w:color="auto"/>
        <w:right w:val="none" w:sz="0" w:space="0" w:color="auto"/>
      </w:divBdr>
    </w:div>
    <w:div w:id="1608736314">
      <w:bodyDiv w:val="1"/>
      <w:marLeft w:val="0"/>
      <w:marRight w:val="0"/>
      <w:marTop w:val="0"/>
      <w:marBottom w:val="0"/>
      <w:divBdr>
        <w:top w:val="none" w:sz="0" w:space="0" w:color="auto"/>
        <w:left w:val="none" w:sz="0" w:space="0" w:color="auto"/>
        <w:bottom w:val="none" w:sz="0" w:space="0" w:color="auto"/>
        <w:right w:val="none" w:sz="0" w:space="0" w:color="auto"/>
      </w:divBdr>
    </w:div>
    <w:div w:id="1639384755">
      <w:bodyDiv w:val="1"/>
      <w:marLeft w:val="0"/>
      <w:marRight w:val="0"/>
      <w:marTop w:val="0"/>
      <w:marBottom w:val="0"/>
      <w:divBdr>
        <w:top w:val="none" w:sz="0" w:space="0" w:color="auto"/>
        <w:left w:val="none" w:sz="0" w:space="0" w:color="auto"/>
        <w:bottom w:val="none" w:sz="0" w:space="0" w:color="auto"/>
        <w:right w:val="none" w:sz="0" w:space="0" w:color="auto"/>
      </w:divBdr>
    </w:div>
    <w:div w:id="1664894760">
      <w:bodyDiv w:val="1"/>
      <w:marLeft w:val="0"/>
      <w:marRight w:val="0"/>
      <w:marTop w:val="0"/>
      <w:marBottom w:val="0"/>
      <w:divBdr>
        <w:top w:val="none" w:sz="0" w:space="0" w:color="auto"/>
        <w:left w:val="none" w:sz="0" w:space="0" w:color="auto"/>
        <w:bottom w:val="none" w:sz="0" w:space="0" w:color="auto"/>
        <w:right w:val="none" w:sz="0" w:space="0" w:color="auto"/>
      </w:divBdr>
    </w:div>
    <w:div w:id="1706712721">
      <w:bodyDiv w:val="1"/>
      <w:marLeft w:val="0"/>
      <w:marRight w:val="0"/>
      <w:marTop w:val="0"/>
      <w:marBottom w:val="0"/>
      <w:divBdr>
        <w:top w:val="none" w:sz="0" w:space="0" w:color="auto"/>
        <w:left w:val="none" w:sz="0" w:space="0" w:color="auto"/>
        <w:bottom w:val="none" w:sz="0" w:space="0" w:color="auto"/>
        <w:right w:val="none" w:sz="0" w:space="0" w:color="auto"/>
      </w:divBdr>
    </w:div>
    <w:div w:id="1720978066">
      <w:bodyDiv w:val="1"/>
      <w:marLeft w:val="0"/>
      <w:marRight w:val="0"/>
      <w:marTop w:val="0"/>
      <w:marBottom w:val="0"/>
      <w:divBdr>
        <w:top w:val="none" w:sz="0" w:space="0" w:color="auto"/>
        <w:left w:val="none" w:sz="0" w:space="0" w:color="auto"/>
        <w:bottom w:val="none" w:sz="0" w:space="0" w:color="auto"/>
        <w:right w:val="none" w:sz="0" w:space="0" w:color="auto"/>
      </w:divBdr>
    </w:div>
    <w:div w:id="1769158876">
      <w:bodyDiv w:val="1"/>
      <w:marLeft w:val="0"/>
      <w:marRight w:val="0"/>
      <w:marTop w:val="0"/>
      <w:marBottom w:val="0"/>
      <w:divBdr>
        <w:top w:val="none" w:sz="0" w:space="0" w:color="auto"/>
        <w:left w:val="none" w:sz="0" w:space="0" w:color="auto"/>
        <w:bottom w:val="none" w:sz="0" w:space="0" w:color="auto"/>
        <w:right w:val="none" w:sz="0" w:space="0" w:color="auto"/>
      </w:divBdr>
    </w:div>
    <w:div w:id="1776634053">
      <w:bodyDiv w:val="1"/>
      <w:marLeft w:val="0"/>
      <w:marRight w:val="0"/>
      <w:marTop w:val="0"/>
      <w:marBottom w:val="0"/>
      <w:divBdr>
        <w:top w:val="none" w:sz="0" w:space="0" w:color="auto"/>
        <w:left w:val="none" w:sz="0" w:space="0" w:color="auto"/>
        <w:bottom w:val="none" w:sz="0" w:space="0" w:color="auto"/>
        <w:right w:val="none" w:sz="0" w:space="0" w:color="auto"/>
      </w:divBdr>
    </w:div>
    <w:div w:id="1800372023">
      <w:bodyDiv w:val="1"/>
      <w:marLeft w:val="0"/>
      <w:marRight w:val="0"/>
      <w:marTop w:val="0"/>
      <w:marBottom w:val="0"/>
      <w:divBdr>
        <w:top w:val="none" w:sz="0" w:space="0" w:color="auto"/>
        <w:left w:val="none" w:sz="0" w:space="0" w:color="auto"/>
        <w:bottom w:val="none" w:sz="0" w:space="0" w:color="auto"/>
        <w:right w:val="none" w:sz="0" w:space="0" w:color="auto"/>
      </w:divBdr>
    </w:div>
    <w:div w:id="1933392256">
      <w:bodyDiv w:val="1"/>
      <w:marLeft w:val="0"/>
      <w:marRight w:val="0"/>
      <w:marTop w:val="0"/>
      <w:marBottom w:val="0"/>
      <w:divBdr>
        <w:top w:val="none" w:sz="0" w:space="0" w:color="auto"/>
        <w:left w:val="none" w:sz="0" w:space="0" w:color="auto"/>
        <w:bottom w:val="none" w:sz="0" w:space="0" w:color="auto"/>
        <w:right w:val="none" w:sz="0" w:space="0" w:color="auto"/>
      </w:divBdr>
    </w:div>
    <w:div w:id="1954634350">
      <w:bodyDiv w:val="1"/>
      <w:marLeft w:val="0"/>
      <w:marRight w:val="0"/>
      <w:marTop w:val="0"/>
      <w:marBottom w:val="0"/>
      <w:divBdr>
        <w:top w:val="none" w:sz="0" w:space="0" w:color="auto"/>
        <w:left w:val="none" w:sz="0" w:space="0" w:color="auto"/>
        <w:bottom w:val="none" w:sz="0" w:space="0" w:color="auto"/>
        <w:right w:val="none" w:sz="0" w:space="0" w:color="auto"/>
      </w:divBdr>
    </w:div>
    <w:div w:id="2017265114">
      <w:bodyDiv w:val="1"/>
      <w:marLeft w:val="0"/>
      <w:marRight w:val="0"/>
      <w:marTop w:val="0"/>
      <w:marBottom w:val="0"/>
      <w:divBdr>
        <w:top w:val="none" w:sz="0" w:space="0" w:color="auto"/>
        <w:left w:val="none" w:sz="0" w:space="0" w:color="auto"/>
        <w:bottom w:val="none" w:sz="0" w:space="0" w:color="auto"/>
        <w:right w:val="none" w:sz="0" w:space="0" w:color="auto"/>
      </w:divBdr>
    </w:div>
    <w:div w:id="2018803480">
      <w:bodyDiv w:val="1"/>
      <w:marLeft w:val="0"/>
      <w:marRight w:val="0"/>
      <w:marTop w:val="0"/>
      <w:marBottom w:val="0"/>
      <w:divBdr>
        <w:top w:val="none" w:sz="0" w:space="0" w:color="auto"/>
        <w:left w:val="none" w:sz="0" w:space="0" w:color="auto"/>
        <w:bottom w:val="none" w:sz="0" w:space="0" w:color="auto"/>
        <w:right w:val="none" w:sz="0" w:space="0" w:color="auto"/>
      </w:divBdr>
    </w:div>
    <w:div w:id="2056586727">
      <w:bodyDiv w:val="1"/>
      <w:marLeft w:val="0"/>
      <w:marRight w:val="0"/>
      <w:marTop w:val="0"/>
      <w:marBottom w:val="0"/>
      <w:divBdr>
        <w:top w:val="none" w:sz="0" w:space="0" w:color="auto"/>
        <w:left w:val="none" w:sz="0" w:space="0" w:color="auto"/>
        <w:bottom w:val="none" w:sz="0" w:space="0" w:color="auto"/>
        <w:right w:val="none" w:sz="0" w:space="0" w:color="auto"/>
      </w:divBdr>
    </w:div>
    <w:div w:id="2061397486">
      <w:bodyDiv w:val="1"/>
      <w:marLeft w:val="0"/>
      <w:marRight w:val="0"/>
      <w:marTop w:val="0"/>
      <w:marBottom w:val="0"/>
      <w:divBdr>
        <w:top w:val="none" w:sz="0" w:space="0" w:color="auto"/>
        <w:left w:val="none" w:sz="0" w:space="0" w:color="auto"/>
        <w:bottom w:val="none" w:sz="0" w:space="0" w:color="auto"/>
        <w:right w:val="none" w:sz="0" w:space="0" w:color="auto"/>
      </w:divBdr>
    </w:div>
    <w:div w:id="2102291214">
      <w:bodyDiv w:val="1"/>
      <w:marLeft w:val="0"/>
      <w:marRight w:val="0"/>
      <w:marTop w:val="0"/>
      <w:marBottom w:val="0"/>
      <w:divBdr>
        <w:top w:val="none" w:sz="0" w:space="0" w:color="auto"/>
        <w:left w:val="none" w:sz="0" w:space="0" w:color="auto"/>
        <w:bottom w:val="none" w:sz="0" w:space="0" w:color="auto"/>
        <w:right w:val="none" w:sz="0" w:space="0" w:color="auto"/>
      </w:divBdr>
    </w:div>
    <w:div w:id="2109502180">
      <w:bodyDiv w:val="1"/>
      <w:marLeft w:val="0"/>
      <w:marRight w:val="0"/>
      <w:marTop w:val="0"/>
      <w:marBottom w:val="0"/>
      <w:divBdr>
        <w:top w:val="none" w:sz="0" w:space="0" w:color="auto"/>
        <w:left w:val="none" w:sz="0" w:space="0" w:color="auto"/>
        <w:bottom w:val="none" w:sz="0" w:space="0" w:color="auto"/>
        <w:right w:val="none" w:sz="0" w:space="0" w:color="auto"/>
      </w:divBdr>
      <w:divsChild>
        <w:div w:id="1323972799">
          <w:marLeft w:val="0"/>
          <w:marRight w:val="0"/>
          <w:marTop w:val="0"/>
          <w:marBottom w:val="0"/>
          <w:divBdr>
            <w:top w:val="none" w:sz="0" w:space="0" w:color="auto"/>
            <w:left w:val="none" w:sz="0" w:space="0" w:color="auto"/>
            <w:bottom w:val="none" w:sz="0" w:space="0" w:color="auto"/>
            <w:right w:val="none" w:sz="0" w:space="0" w:color="auto"/>
          </w:divBdr>
          <w:divsChild>
            <w:div w:id="535238753">
              <w:marLeft w:val="0"/>
              <w:marRight w:val="0"/>
              <w:marTop w:val="0"/>
              <w:marBottom w:val="0"/>
              <w:divBdr>
                <w:top w:val="none" w:sz="0" w:space="0" w:color="auto"/>
                <w:left w:val="none" w:sz="0" w:space="0" w:color="auto"/>
                <w:bottom w:val="none" w:sz="0" w:space="0" w:color="auto"/>
                <w:right w:val="none" w:sz="0" w:space="0" w:color="auto"/>
              </w:divBdr>
              <w:divsChild>
                <w:div w:id="15364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iana.Perez@Illinois.gov" TargetMode="External"/><Relationship Id="rId13" Type="http://schemas.openxmlformats.org/officeDocument/2006/relationships/hyperlink" Target="https://www2.illinois.gov/sites/GATA/Grantee/Pages/default.aspx" TargetMode="External"/><Relationship Id="rId18" Type="http://schemas.openxmlformats.org/officeDocument/2006/relationships/hyperlink" Target="http://www.dunandbradstreet.com" TargetMode="External"/><Relationship Id="rId26" Type="http://schemas.openxmlformats.org/officeDocument/2006/relationships/hyperlink" Target="mailto:Adriana.Perez@Illinois.gov" TargetMode="External"/><Relationship Id="rId3" Type="http://schemas.openxmlformats.org/officeDocument/2006/relationships/styles" Target="styles.xml"/><Relationship Id="rId21" Type="http://schemas.openxmlformats.org/officeDocument/2006/relationships/hyperlink" Target="mailto:CJA.ARI.SFY19NOFO2@Illinois.gov" TargetMode="External"/><Relationship Id="rId7" Type="http://schemas.openxmlformats.org/officeDocument/2006/relationships/endnotes" Target="endnotes.xml"/><Relationship Id="rId12" Type="http://schemas.openxmlformats.org/officeDocument/2006/relationships/hyperlink" Target="http://www.icjia.state.il.us/redeploy/standard-plan.cfm" TargetMode="External"/><Relationship Id="rId17" Type="http://schemas.openxmlformats.org/officeDocument/2006/relationships/hyperlink" Target="https://governmentcontractregistration.com/sam-registration.asp" TargetMode="External"/><Relationship Id="rId25" Type="http://schemas.openxmlformats.org/officeDocument/2006/relationships/hyperlink" Target="mailto:Cja.aro@Illinois.gov" TargetMode="External"/><Relationship Id="rId2" Type="http://schemas.openxmlformats.org/officeDocument/2006/relationships/numbering" Target="numbering.xml"/><Relationship Id="rId16" Type="http://schemas.openxmlformats.org/officeDocument/2006/relationships/hyperlink" Target="mailto:CJA.ARI.SFY19NOFO2@Illinois.gov" TargetMode="External"/><Relationship Id="rId20" Type="http://schemas.openxmlformats.org/officeDocument/2006/relationships/hyperlink" Target="https://gata.icjia.cloud/" TargetMode="External"/><Relationship Id="rId29"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iallsites2017.icjia.cloud/static/summit_documents/Community_toolkit_bridges_to_justice_FINAL.pdf" TargetMode="External"/><Relationship Id="rId24" Type="http://schemas.openxmlformats.org/officeDocument/2006/relationships/hyperlink" Target="https://www2.illinois.gov/cms/Employees/travel/Pages/TravelReimbursement.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cjia.az1.qualtrics.com/jfe/form/SV_1EQaPVJ60UsJZ1H" TargetMode="External"/><Relationship Id="rId23" Type="http://schemas.openxmlformats.org/officeDocument/2006/relationships/hyperlink" Target="https://ojp.gov/financialguide/doj/index.htm" TargetMode="External"/><Relationship Id="rId28" Type="http://schemas.openxmlformats.org/officeDocument/2006/relationships/hyperlink" Target="mailto:STAFFemail@illinois.gov" TargetMode="External"/><Relationship Id="rId10" Type="http://schemas.openxmlformats.org/officeDocument/2006/relationships/hyperlink" Target="http://www.icjia.org/redeploy" TargetMode="External"/><Relationship Id="rId19" Type="http://schemas.openxmlformats.org/officeDocument/2006/relationships/hyperlink" Target="mailto:CJA.ARI.SFY19NOFO2@Illinois.gov"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cjia.org/redeploy" TargetMode="External"/><Relationship Id="rId14" Type="http://schemas.openxmlformats.org/officeDocument/2006/relationships/hyperlink" Target="https://gata.icjia.cloud/" TargetMode="External"/><Relationship Id="rId22" Type="http://schemas.openxmlformats.org/officeDocument/2006/relationships/hyperlink" Target="mailto:CJA.ARI.SFY19NOFO2@Illinois.gov" TargetMode="External"/><Relationship Id="rId27" Type="http://schemas.openxmlformats.org/officeDocument/2006/relationships/hyperlink" Target="mailto:Adriana.Perez@Illinois.gov"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E0BA9-A2E0-459D-A05A-5631F31DD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6967</Words>
  <Characters>39716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Adult Redeploy Illinois (ARI)</Company>
  <LinksUpToDate>false</LinksUpToDate>
  <CharactersWithSpaces>46590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ARI Planning Implementation NOFO SFY17</cp:keywords>
  <dc:description/>
  <cp:lastModifiedBy>Pérez, Adriana</cp:lastModifiedBy>
  <cp:revision>2</cp:revision>
  <cp:lastPrinted>2018-09-12T14:08:00Z</cp:lastPrinted>
  <dcterms:created xsi:type="dcterms:W3CDTF">2018-09-27T15:26:00Z</dcterms:created>
  <dcterms:modified xsi:type="dcterms:W3CDTF">2018-09-27T15:26:00Z</dcterms:modified>
</cp:coreProperties>
</file>