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Publishing Isn't Promotion</w:t>
      </w:r>
    </w:p>
    <w:bookmarkStart w:id="15" w:name="publishing-isnt-promotion"/>
    <w:p>
      <w:pPr>
        <w:pStyle w:val="Heading1"/>
      </w:pPr>
      <w:r>
        <w:t xml:space="preserve">Publishing Isn’t Promotion</w:t>
      </w:r>
    </w:p>
    <w:p>
      <w:pPr>
        <w:pStyle w:val="FirstParagraph"/>
      </w:pPr>
      <w:r>
        <w:rPr>
          <w:b/>
          <w:bCs/>
        </w:rPr>
        <w:t xml:space="preserve">ICJIA Web Team · Briefing · August 26, 2026 · For discussion</w:t>
      </w:r>
    </w:p>
    <w:p>
      <w:pPr>
        <w:pStyle w:val="BodyText"/>
      </w:pPr>
      <w:r>
        <w:t xml:space="preserve">The Homicide Reporting page is live and working. Now it needs an audience — and our own analytics say that audience will not come from passive placement, whether that’s a menu link or a news item on the homepage. It comes when we push: the</w:t>
      </w:r>
      <w:r>
        <w:t xml:space="preserve"> </w:t>
      </w:r>
      <w:r>
        <w:rPr>
          <w:b/>
          <w:bCs/>
        </w:rPr>
        <w:t xml:space="preserve">CJ Dispatch</w:t>
      </w:r>
      <w:r>
        <w:t xml:space="preserve"> </w:t>
      </w:r>
      <w:r>
        <w:t xml:space="preserve">list,</w:t>
      </w:r>
      <w:r>
        <w:t xml:space="preserve"> </w:t>
      </w:r>
      <w:r>
        <w:rPr>
          <w:b/>
          <w:bCs/>
        </w:rPr>
        <w:t xml:space="preserve">social channels</w:t>
      </w:r>
      <w:r>
        <w:t xml:space="preserve">, and a</w:t>
      </w:r>
      <w:r>
        <w:t xml:space="preserve"> </w:t>
      </w:r>
      <w:r>
        <w:rPr>
          <w:b/>
          <w:bCs/>
        </w:rPr>
        <w:t xml:space="preserve">Research Hub article</w:t>
      </w:r>
      <w:r>
        <w:t xml:space="preserve">. Here is the evidence, and a repeatable playbook for this page and every state-mandated page that follows it.</w:t>
      </w:r>
    </w:p>
    <w:p>
      <w:pPr>
        <w:pStyle w:val="BlockText"/>
      </w:pPr>
      <w:r>
        <w:rPr>
          <w:b/>
          <w:bCs/>
        </w:rPr>
        <w:t xml:space="preserve">About the numbers:</w:t>
      </w:r>
      <w:r>
        <w:t xml:space="preserve"> </w:t>
      </w:r>
      <w:r>
        <w:t xml:space="preserve">every figure in this briefing comes from Plausible, the website’s analytics tool — a privacy-friendly counterpart to Google Analytics that we run on our own server. It counts visits and shows where each one came from, without cookies and without tracking individual people. These are our own measured numbers, not estimates.</w:t>
      </w:r>
    </w:p>
    <w:p>
      <w:pPr>
        <w:pStyle w:val="FirstParagraph"/>
      </w:pPr>
      <w:r>
        <w:rPr>
          <w:b/>
          <w:bCs/>
        </w:rPr>
        <w:t xml:space="preserve">The numbers at a glance</w:t>
      </w:r>
      <w:r>
        <w:t xml:space="preserve"> </w:t>
      </w:r>
      <w:r>
        <w:rPr>
          <w:i/>
          <w:iCs/>
        </w:rPr>
        <w:t xml:space="preserve">(last 12 months)</w:t>
      </w:r>
    </w:p>
    <w:tbl>
      <w:tblPr>
        <w:tblStyle w:val="Table"/>
        <w:tblW w:type="pct" w:w="5000"/>
        <w:tblLayout w:type="fixed"/>
        <w:tblLook w:firstRow="0" w:lastRow="0" w:firstColumn="0" w:lastColumn="0" w:noHBand="0" w:noVBand="0" w:val="0000"/>
      </w:tblPr>
      <w:tblGrid>
        <w:gridCol w:w="3960"/>
        <w:gridCol w:w="3960"/>
      </w:tblGrid>
      <w:tr>
        <w:tc>
          <w:tcPr/>
          <w:p>
            <w:pPr>
              <w:pStyle w:val="Compact"/>
              <w:jc w:val="right"/>
            </w:pPr>
            <w:r>
              <w:rPr>
                <w:b/>
                <w:bCs/>
              </w:rPr>
              <w:t xml:space="preserve">9</w:t>
            </w:r>
          </w:p>
        </w:tc>
        <w:tc>
          <w:tcPr/>
          <w:p>
            <w:pPr>
              <w:pStyle w:val="Compact"/>
              <w:jc w:val="left"/>
            </w:pPr>
            <w:r>
              <w:t xml:space="preserve">visitors to /homicide in its first days, unannounced — the passive baseline</w:t>
            </w:r>
          </w:p>
        </w:tc>
      </w:tr>
      <w:tr>
        <w:tc>
          <w:tcPr/>
          <w:p>
            <w:pPr>
              <w:pStyle w:val="Compact"/>
              <w:jc w:val="right"/>
            </w:pPr>
            <w:r>
              <w:rPr>
                <w:b/>
                <w:bCs/>
              </w:rPr>
              <w:t xml:space="preserve">4 in 5</w:t>
            </w:r>
          </w:p>
        </w:tc>
        <w:tc>
          <w:tcPr/>
          <w:p>
            <w:pPr>
              <w:pStyle w:val="Compact"/>
              <w:jc w:val="left"/>
            </w:pPr>
            <w:r>
              <w:t xml:space="preserve">visits start on an interior page — most visitors never see the homepage</w:t>
            </w:r>
          </w:p>
        </w:tc>
      </w:tr>
      <w:tr>
        <w:tc>
          <w:tcPr/>
          <w:p>
            <w:pPr>
              <w:pStyle w:val="Compact"/>
              <w:jc w:val="right"/>
            </w:pPr>
            <w:r>
              <w:rPr>
                <w:b/>
                <w:bCs/>
              </w:rPr>
              <w:t xml:space="preserve">48%</w:t>
            </w:r>
          </w:p>
        </w:tc>
        <w:tc>
          <w:tcPr/>
          <w:p>
            <w:pPr>
              <w:pStyle w:val="Compact"/>
              <w:jc w:val="left"/>
            </w:pPr>
            <w:r>
              <w:t xml:space="preserve">of all pageviews happen in the Research Hub</w:t>
            </w:r>
          </w:p>
        </w:tc>
      </w:tr>
      <w:tr>
        <w:tc>
          <w:tcPr/>
          <w:p>
            <w:pPr>
              <w:pStyle w:val="Compact"/>
              <w:jc w:val="right"/>
            </w:pPr>
            <w:r>
              <w:rPr>
                <w:b/>
                <w:bCs/>
              </w:rPr>
              <w:t xml:space="preserve">4,000+</w:t>
            </w:r>
          </w:p>
        </w:tc>
        <w:tc>
          <w:tcPr/>
          <w:p>
            <w:pPr>
              <w:pStyle w:val="Compact"/>
              <w:jc w:val="left"/>
            </w:pPr>
            <w:r>
              <w:t xml:space="preserve">CJ Dispatch subscribers — opted-in criminal-justice professionals</w:t>
            </w:r>
          </w:p>
        </w:tc>
      </w:tr>
      <w:tr>
        <w:tc>
          <w:tcPr/>
          <w:p>
            <w:pPr>
              <w:pStyle w:val="Compact"/>
              <w:jc w:val="right"/>
            </w:pPr>
            <w:r>
              <w:rPr>
                <w:b/>
                <w:bCs/>
              </w:rPr>
              <w:t xml:space="preserve">~2%</w:t>
            </w:r>
          </w:p>
        </w:tc>
        <w:tc>
          <w:tcPr/>
          <w:p>
            <w:pPr>
              <w:pStyle w:val="Compact"/>
              <w:jc w:val="left"/>
            </w:pPr>
            <w:r>
              <w:t xml:space="preserve">of traffic is</w:t>
            </w:r>
            <w:r>
              <w:t xml:space="preserve"> </w:t>
            </w:r>
            <w:r>
              <w:rPr>
                <w:i/>
                <w:iCs/>
              </w:rPr>
              <w:t xml:space="preserve">credited</w:t>
            </w:r>
            <w:r>
              <w:t xml:space="preserve"> </w:t>
            </w:r>
            <w:r>
              <w:t xml:space="preserve">to social — a floor, not the truth: clicks from apps and email often arrive unlabeled and get filed under</w:t>
            </w:r>
            <w:r>
              <w:t xml:space="preserve"> </w:t>
            </w:r>
            <w:r>
              <w:t xml:space="preserve">“Direct”</w:t>
            </w:r>
          </w:p>
        </w:tc>
      </w:tr>
    </w:tbl>
    <w:bookmarkStart w:id="9" w:name="X87c656318cbc0b465cf6e8b85f448ce2fd9dcaa"/>
    <w:p>
      <w:pPr>
        <w:pStyle w:val="Heading2"/>
      </w:pPr>
      <w:r>
        <w:t xml:space="preserve">1. How people actually find icjia.illinois.gov</w:t>
      </w:r>
    </w:p>
    <w:p>
      <w:pPr>
        <w:pStyle w:val="FirstParagraph"/>
      </w:pPr>
      <w:r>
        <w:t xml:space="preserve">Over the last 12 months,</w:t>
      </w:r>
      <w:r>
        <w:t xml:space="preserve"> </w:t>
      </w:r>
      <w:r>
        <w:rPr>
          <w:b/>
          <w:bCs/>
        </w:rPr>
        <w:t xml:space="preserve">61,100 different people</w:t>
      </w:r>
      <w:r>
        <w:t xml:space="preserve"> </w:t>
      </w:r>
      <w:r>
        <w:t xml:space="preserve">made</w:t>
      </w:r>
      <w:r>
        <w:t xml:space="preserve"> </w:t>
      </w:r>
      <w:r>
        <w:rPr>
          <w:b/>
          <w:bCs/>
        </w:rPr>
        <w:t xml:space="preserve">146,300 visits</w:t>
      </w:r>
      <w:r>
        <w:t xml:space="preserve"> </w:t>
      </w:r>
      <w:r>
        <w:t xml:space="preserve">to the site and viewed</w:t>
      </w:r>
      <w:r>
        <w:t xml:space="preserve"> </w:t>
      </w:r>
      <w:r>
        <w:rPr>
          <w:b/>
          <w:bCs/>
        </w:rPr>
        <w:t xml:space="preserve">463,700 pages</w:t>
      </w:r>
      <w:r>
        <w:t xml:space="preserve">. About</w:t>
      </w:r>
      <w:r>
        <w:t xml:space="preserve"> </w:t>
      </w:r>
      <w:r>
        <w:rPr>
          <w:b/>
          <w:bCs/>
        </w:rPr>
        <w:t xml:space="preserve">90%</w:t>
      </w:r>
      <w:r>
        <w:t xml:space="preserve"> </w:t>
      </w:r>
      <w:r>
        <w:t xml:space="preserve">of those visits arrived either from a search engine or as what analytics calls</w:t>
      </w:r>
      <w:r>
        <w:t xml:space="preserve"> </w:t>
      </w:r>
      <w:r>
        <w:t xml:space="preserve">“Direct”</w:t>
      </w:r>
      <w:r>
        <w:t xml:space="preserve"> </w:t>
      </w:r>
      <w:r>
        <w:t xml:space="preserve">— clicks that show up with no information about where they came from (more on that below). People land on the exact page that answers their question, read it, and leave: 63% of visits are one page and done. Only 1 visit in 5 even begins at the homepage. Almost nobody arrives at the front door and browses the menus looking for something new.</w:t>
      </w:r>
    </w:p>
    <w:p>
      <w:pPr>
        <w:pStyle w:val="BodyText"/>
      </w:pPr>
      <w:r>
        <w:t xml:space="preserve">And where they land is overwhelmingly one place: the</w:t>
      </w:r>
      <w:r>
        <w:t xml:space="preserve"> </w:t>
      </w:r>
      <w:r>
        <w:rPr>
          <w:b/>
          <w:bCs/>
        </w:rPr>
        <w:t xml:space="preserve">Research Hub carries 48% of all pageviews</w:t>
      </w:r>
      <w:r>
        <w:t xml:space="preserve">, and seven of the site’s ten most-visited pages are Hub articles.</w:t>
      </w:r>
    </w:p>
    <w:p>
      <w:pPr>
        <w:pStyle w:val="BodyText"/>
      </w:pPr>
      <w:r>
        <w:t xml:space="preserve">One new development worth naming:</w:t>
      </w:r>
      <w:r>
        <w:t xml:space="preserve"> </w:t>
      </w:r>
      <w:r>
        <w:rPr>
          <w:b/>
          <w:bCs/>
        </w:rPr>
        <w:t xml:space="preserve">AI assistants are now our #3 source of visitors.</w:t>
      </w:r>
      <w:r>
        <w:t xml:space="preserve"> </w:t>
      </w:r>
      <w:r>
        <w:t xml:space="preserve">ChatGPT sent ~2,500 people to the site last year — more than Bing. Search engines and AI assistants have one thing in common: they can only recommend pages whose</w:t>
      </w:r>
      <w:r>
        <w:t xml:space="preserve"> </w:t>
      </w:r>
      <w:r>
        <w:rPr>
          <w:i/>
          <w:iCs/>
        </w:rPr>
        <w:t xml:space="preserve">text</w:t>
      </w:r>
      <w:r>
        <w:t xml:space="preserve"> </w:t>
      </w:r>
      <w:r>
        <w:t xml:space="preserve">they can read.</w:t>
      </w:r>
    </w:p>
    <w:bookmarkEnd w:id="9"/>
    <w:bookmarkStart w:id="10" w:name="what-a-menu-link-alone-can-deliver"/>
    <w:p>
      <w:pPr>
        <w:pStyle w:val="Heading2"/>
      </w:pPr>
      <w:r>
        <w:t xml:space="preserve">2. What a menu link (alone) can deliver</w:t>
      </w:r>
    </w:p>
    <w:p>
      <w:pPr>
        <w:pStyle w:val="FirstParagraph"/>
      </w:pPr>
      <w:r>
        <w:t xml:space="preserve">A menu item serves people who are already on the site for another reason. That is</w:t>
      </w:r>
      <w:r>
        <w:t xml:space="preserve"> </w:t>
      </w:r>
      <w:r>
        <w:rPr>
          <w:i/>
          <w:iCs/>
        </w:rPr>
        <w:t xml:space="preserve">findability</w:t>
      </w:r>
      <w:r>
        <w:t xml:space="preserve"> </w:t>
      </w:r>
      <w:r>
        <w:t xml:space="preserve">— necessary, cheap, and worth doing on day one. But it creates no new audience. What navigation-only reach looks like, in average visitors per day over the last 12 months: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Page</w:t>
            </w:r>
          </w:p>
        </w:tc>
        <w:tc>
          <w:tcPr/>
          <w:p>
            <w:pPr>
              <w:pStyle w:val="Compact"/>
              <w:jc w:val="right"/>
            </w:pPr>
            <w:r>
              <w:t xml:space="preserve">Visitors/day</w:t>
            </w:r>
          </w:p>
        </w:tc>
      </w:tr>
      <w:tr>
        <w:tc>
          <w:tcPr/>
          <w:p>
            <w:pPr>
              <w:pStyle w:val="Compact"/>
              <w:jc w:val="left"/>
            </w:pPr>
            <w:r>
              <w:t xml:space="preserve">Top Research Hub article (promoted + found via Google)</w:t>
            </w:r>
          </w:p>
        </w:tc>
        <w:tc>
          <w:tcPr/>
          <w:p>
            <w:pPr>
              <w:pStyle w:val="Compact"/>
              <w:jc w:val="right"/>
            </w:pPr>
            <w:r>
              <w:rPr>
                <w:b/>
                <w:bCs/>
              </w:rPr>
              <w:t xml:space="preserve">16</w:t>
            </w:r>
          </w:p>
        </w:tc>
      </w:tr>
      <w:tr>
        <w:tc>
          <w:tcPr/>
          <w:p>
            <w:pPr>
              <w:pStyle w:val="Compact"/>
              <w:jc w:val="left"/>
            </w:pPr>
            <w:r>
              <w:t xml:space="preserve">Typical menu-reached page (e.g. /about/dicra)</w:t>
            </w:r>
          </w:p>
        </w:tc>
        <w:tc>
          <w:tcPr/>
          <w:p>
            <w:pPr>
              <w:pStyle w:val="Compact"/>
              <w:jc w:val="right"/>
            </w:pPr>
            <w:r>
              <w:rPr>
                <w:b/>
                <w:bCs/>
              </w:rPr>
              <w:t xml:space="preserve">3</w:t>
            </w:r>
          </w:p>
        </w:tc>
      </w:tr>
      <w:tr>
        <w:tc>
          <w:tcPr/>
          <w:p>
            <w:pPr>
              <w:pStyle w:val="Compact"/>
              <w:jc w:val="left"/>
            </w:pPr>
            <w:r>
              <w:t xml:space="preserve">Best single news post of the year (homepage news item)</w:t>
            </w:r>
          </w:p>
        </w:tc>
        <w:tc>
          <w:tcPr/>
          <w:p>
            <w:pPr>
              <w:pStyle w:val="Compact"/>
              <w:jc w:val="right"/>
            </w:pPr>
            <w:r>
              <w:rPr>
                <w:b/>
                <w:bCs/>
              </w:rPr>
              <w:t xml:space="preserve">≈2</w:t>
            </w:r>
          </w:p>
        </w:tc>
      </w:tr>
    </w:tbl>
    <w:p>
      <w:pPr>
        <w:pStyle w:val="BodyText"/>
      </w:pPr>
      <w:r>
        <w:t xml:space="preserve">The Homicide Reporting page has a second, structural problem: its centerpiece — the interactive dashboard — is drawn on our page by another website (the state’s Tableau server). To Google, and to ChatGPT, that window is effectively invisible: our page contains almost no text they can read, so they have nothing to index or quote, and search will not build this audience on its own, either. Left passive, /homicide stays at tens of visitors a month.</w:t>
      </w:r>
    </w:p>
    <w:p>
      <w:pPr>
        <w:pStyle w:val="BodyText"/>
      </w:pPr>
      <w:r>
        <w:t xml:space="preserve">There</w:t>
      </w:r>
      <w:r>
        <w:t xml:space="preserve"> </w:t>
      </w:r>
      <w:r>
        <w:rPr>
          <w:i/>
          <w:iCs/>
        </w:rPr>
        <w:t xml:space="preserve">is</w:t>
      </w:r>
      <w:r>
        <w:t xml:space="preserve"> </w:t>
      </w:r>
      <w:r>
        <w:t xml:space="preserve">a smart version of on-site promotion — it just isn’t the menu. Since visitors enter through articles, promote where they land: the ten most-read Hub articles alone logged</w:t>
      </w:r>
      <w:r>
        <w:t xml:space="preserve"> </w:t>
      </w:r>
      <w:r>
        <w:rPr>
          <w:b/>
          <w:bCs/>
        </w:rPr>
        <w:t xml:space="preserve">≈42,000 readers</w:t>
      </w:r>
      <w:r>
        <w:t xml:space="preserve"> </w:t>
      </w:r>
      <w:r>
        <w:t xml:space="preserve">last year. A</w:t>
      </w:r>
      <w:r>
        <w:t xml:space="preserve"> </w:t>
      </w:r>
      <w:r>
        <w:t xml:space="preserve">“New: Illinois Homicide Clearance Dashboard”</w:t>
      </w:r>
      <w:r>
        <w:t xml:space="preserve"> </w:t>
      </w:r>
      <w:r>
        <w:t xml:space="preserve">callout inside the most-read related articles puts the page in front of the site’s real front door. Worth doing — but note its limit: on-site placement can only</w:t>
      </w:r>
      <w:r>
        <w:t xml:space="preserve"> </w:t>
      </w:r>
      <w:r>
        <w:rPr>
          <w:i/>
          <w:iCs/>
        </w:rPr>
        <w:t xml:space="preserve">convert</w:t>
      </w:r>
      <w:r>
        <w:t xml:space="preserve"> </w:t>
      </w:r>
      <w:r>
        <w:t xml:space="preserve">traffic we already have. It cannot</w:t>
      </w:r>
      <w:r>
        <w:t xml:space="preserve"> </w:t>
      </w:r>
      <w:r>
        <w:rPr>
          <w:i/>
          <w:iCs/>
        </w:rPr>
        <w:t xml:space="preserve">create</w:t>
      </w:r>
      <w:r>
        <w:t xml:space="preserve"> </w:t>
      </w:r>
      <w:r>
        <w:t xml:space="preserve">traffic. Creating it is what the push channels are for.</w:t>
      </w:r>
    </w:p>
    <w:bookmarkEnd w:id="10"/>
    <w:bookmarkStart w:id="11" w:name="what-deliberate-outreach-delivers"/>
    <w:p>
      <w:pPr>
        <w:pStyle w:val="Heading2"/>
      </w:pPr>
      <w:r>
        <w:t xml:space="preserve">3. What deliberate outreach delivers</w:t>
      </w:r>
    </w:p>
    <w:p>
      <w:pPr>
        <w:pStyle w:val="FirstParagraph"/>
      </w:pPr>
      <w:r>
        <w:rPr>
          <w:b/>
          <w:bCs/>
        </w:rPr>
        <w:t xml:space="preserve">CJ Dispatch (Constant Contact) — highest yield, first 48 hours.</w:t>
      </w:r>
      <w:r>
        <w:t xml:space="preserve"> </w:t>
      </w:r>
      <w:r>
        <w:t xml:space="preserve">4,000+ subscribers who chose to hear from us. At a deliberately conservative 30% open / 3% click — at or below published government-sector benchmarks (30–47% open, 2–4% click) — one send produces</w:t>
      </w:r>
      <w:r>
        <w:t xml:space="preserve"> </w:t>
      </w:r>
      <w:r>
        <w:rPr>
          <w:b/>
          <w:bCs/>
        </w:rPr>
        <w:t xml:space="preserve">≈1,200 reads</w:t>
      </w:r>
      <w:r>
        <w:t xml:space="preserve"> </w:t>
      </w:r>
      <w:r>
        <w:t xml:space="preserve">and</w:t>
      </w:r>
      <w:r>
        <w:t xml:space="preserve"> </w:t>
      </w:r>
      <w:r>
        <w:rPr>
          <w:b/>
          <w:bCs/>
        </w:rPr>
        <w:t xml:space="preserve">≈120 visits</w:t>
      </w:r>
      <w:r>
        <w:t xml:space="preserve"> </w:t>
      </w:r>
      <w:r>
        <w:t xml:space="preserve">within two days. That is roughly</w:t>
      </w:r>
      <w:r>
        <w:t xml:space="preserve"> </w:t>
      </w:r>
      <w:r>
        <w:rPr>
          <w:b/>
          <w:bCs/>
        </w:rPr>
        <w:t xml:space="preserve">three months of the passive baseline in 48 hours</w:t>
      </w:r>
      <w:r>
        <w:t xml:space="preserve">, delivered to the equivalent of 70% of a typical month’s entire site audience. And if past sends drove clicks, our analytics never saw them — email clicks arrive with no origin information and get filed under</w:t>
      </w:r>
      <w:r>
        <w:t xml:space="preserve"> </w:t>
      </w:r>
      <w:r>
        <w:t xml:space="preserve">“Direct”</w:t>
      </w:r>
      <w:r>
        <w:t xml:space="preserve"> </w:t>
      </w:r>
      <w:r>
        <w:t xml:space="preserve">too.</w:t>
      </w:r>
    </w:p>
    <w:p>
      <w:pPr>
        <w:pStyle w:val="BodyText"/>
      </w:pPr>
      <w:r>
        <w:rPr>
          <w:b/>
          <w:bCs/>
        </w:rPr>
        <w:t xml:space="preserve">Social (LinkedIn, X, Facebook) — compounding, over weeks.</w:t>
      </w:r>
      <w:r>
        <w:t xml:space="preserve"> </w:t>
      </w:r>
      <w:r>
        <w:t xml:space="preserve">Social’s</w:t>
      </w:r>
      <w:r>
        <w:t xml:space="preserve"> </w:t>
      </w:r>
      <w:r>
        <w:rPr>
          <w:i/>
          <w:iCs/>
        </w:rPr>
        <w:t xml:space="preserve">credited</w:t>
      </w:r>
      <w:r>
        <w:t xml:space="preserve"> </w:t>
      </w:r>
      <w:r>
        <w:t xml:space="preserve">share is ~2% of traffic — ≈1,500 visitors last year, and it has sat in that range since tracking began in 2021 (Facebook runs a steady 50–150 visitors/month: ambient shares, no campaign spikes). Credited is a floor — a link tapped inside the Facebook or LinkedIn app often arrives with no origin information — but the pattern is clear: we rarely push. The practitioner audience lives on LinkedIn; posts get re-shared by partner agencies and picked up by local press. With sustained posting, a realistic year-one outcome is social growing from ~2% to 5–10% of traffic — and its unique value is reach: it is the one channel that finds people who never search for us.</w:t>
      </w:r>
    </w:p>
    <w:p>
      <w:pPr>
        <w:pStyle w:val="BodyText"/>
      </w:pPr>
      <w:r>
        <w:rPr>
          <w:b/>
          <w:bCs/>
        </w:rPr>
        <w:t xml:space="preserve">Research Hub article — durable, over quarters.</w:t>
      </w:r>
      <w:r>
        <w:t xml:space="preserve"> </w:t>
      </w:r>
      <w:r>
        <w:t xml:space="preserve">A short findings piece — what the clearance data actually shows — published in the channel that already carries 48% of our pageviews, linking to the dashboard. It also gives search engines and AI assistants what the dashboard cannot: readable text to find, index, and quote. Hub articles compound: our top article still drew 5,900 visitors last year. Refresh the article with each quarterly data release.</w:t>
      </w:r>
    </w:p>
    <w:p>
      <w:pPr>
        <w:pStyle w:val="BlockText"/>
      </w:pPr>
      <w:r>
        <w:rPr>
          <w:b/>
          <w:bCs/>
        </w:rPr>
        <w:t xml:space="preserve">Why</w:t>
      </w:r>
      <w:r>
        <w:rPr>
          <w:b/>
          <w:bCs/>
        </w:rPr>
        <w:t xml:space="preserve"> </w:t>
      </w:r>
      <w:r>
        <w:rPr>
          <w:b/>
          <w:bCs/>
        </w:rPr>
        <w:t xml:space="preserve">“2% from social”</w:t>
      </w:r>
      <w:r>
        <w:rPr>
          <w:b/>
          <w:bCs/>
        </w:rPr>
        <w:t xml:space="preserve"> </w:t>
      </w:r>
      <w:r>
        <w:rPr>
          <w:b/>
          <w:bCs/>
        </w:rPr>
        <w:t xml:space="preserve">is a floor — what</w:t>
      </w:r>
      <w:r>
        <w:rPr>
          <w:b/>
          <w:bCs/>
        </w:rPr>
        <w:t xml:space="preserve"> </w:t>
      </w:r>
      <w:r>
        <w:rPr>
          <w:b/>
          <w:bCs/>
        </w:rPr>
        <w:t xml:space="preserve">“Direct”</w:t>
      </w:r>
      <w:r>
        <w:rPr>
          <w:b/>
          <w:bCs/>
        </w:rPr>
        <w:t xml:space="preserve"> </w:t>
      </w:r>
      <w:r>
        <w:rPr>
          <w:b/>
          <w:bCs/>
        </w:rPr>
        <w:t xml:space="preserve">is hiding</w:t>
      </w:r>
    </w:p>
    <w:p>
      <w:pPr>
        <w:pStyle w:val="Compact"/>
        <w:numPr>
          <w:ilvl w:val="0"/>
          <w:numId w:val="1001"/>
        </w:numPr>
      </w:pPr>
      <w:r>
        <w:rPr>
          <w:b/>
          <w:bCs/>
        </w:rPr>
        <w:t xml:space="preserve">48% of all visits are</w:t>
      </w:r>
      <w:r>
        <w:rPr>
          <w:b/>
          <w:bCs/>
        </w:rPr>
        <w:t xml:space="preserve"> </w:t>
      </w:r>
      <w:r>
        <w:rPr>
          <w:b/>
          <w:bCs/>
        </w:rPr>
        <w:t xml:space="preserve">“Direct”</w:t>
      </w:r>
      <w:r>
        <w:t xml:space="preserve"> </w:t>
      </w:r>
      <w:r>
        <w:t xml:space="preserve">— clicks that arrive with no information about where they came from. And 7 in 10 of them begin on long interior article addresses nobody types by hand: those are followed links whose origin got lost in transit.</w:t>
      </w:r>
    </w:p>
    <w:p>
      <w:pPr>
        <w:pStyle w:val="Compact"/>
        <w:numPr>
          <w:ilvl w:val="0"/>
          <w:numId w:val="1001"/>
        </w:numPr>
      </w:pPr>
      <w:r>
        <w:rPr>
          <w:b/>
          <w:bCs/>
        </w:rPr>
        <w:t xml:space="preserve">Direct traffic skews desktop (77%),</w:t>
      </w:r>
      <w:r>
        <w:t xml:space="preserve"> </w:t>
      </w:r>
      <w:r>
        <w:t xml:space="preserve">which points at email programs, Teams chats, and shared documents as the biggest hidden pipe — exactly where CJ Dispatch clicks would land. The few that do identify themselves (Teams, Word Online, Gmail, Adobe) prove each of these pipes is active.</w:t>
      </w:r>
    </w:p>
    <w:p>
      <w:pPr>
        <w:pStyle w:val="Compact"/>
        <w:numPr>
          <w:ilvl w:val="0"/>
          <w:numId w:val="1001"/>
        </w:numPr>
      </w:pPr>
      <w:r>
        <w:rPr>
          <w:b/>
          <w:bCs/>
        </w:rPr>
        <w:t xml:space="preserve">Social apps only sometimes identify themselves:</w:t>
      </w:r>
      <w:r>
        <w:t xml:space="preserve"> </w:t>
      </w:r>
      <w:r>
        <w:t xml:space="preserve">we can see Facebook’s mobile-app addresses when the origin information survives the trip — and nothing when it doesn’t. A link that carries its own tracking label (see</w:t>
      </w:r>
      <w:r>
        <w:t xml:space="preserve"> </w:t>
      </w:r>
      <w:r>
        <w:t xml:space="preserve">“UTM tags,”</w:t>
      </w:r>
      <w:r>
        <w:t xml:space="preserve"> </w:t>
      </w:r>
      <w:r>
        <w:t xml:space="preserve">below) is immune, because the credit travels inside the link itself.</w:t>
      </w:r>
    </w:p>
    <w:p>
      <w:pPr>
        <w:pStyle w:val="FirstParagraph"/>
      </w:pPr>
      <w:r>
        <w:rPr>
          <w:b/>
          <w:bCs/>
        </w:rPr>
        <w:t xml:space="preserve">Two supporting moves round it out.</w:t>
      </w:r>
      <w:r>
        <w:t xml:space="preserve"> </w:t>
      </w:r>
      <w:r>
        <w:t xml:space="preserve">A homepage</w:t>
      </w:r>
      <w:r>
        <w:t xml:space="preserve"> </w:t>
      </w:r>
      <w:r>
        <w:rPr>
          <w:b/>
          <w:bCs/>
        </w:rPr>
        <w:t xml:space="preserve">news item</w:t>
      </w:r>
      <w:r>
        <w:t xml:space="preserve"> </w:t>
      </w:r>
      <w:r>
        <w:t xml:space="preserve">is worth posting, but single news posts historically top out around 600 visitors a year — it’s the garnish, not the meal. And</w:t>
      </w:r>
      <w:r>
        <w:t xml:space="preserve"> </w:t>
      </w:r>
      <w:r>
        <w:rPr>
          <w:b/>
          <w:bCs/>
        </w:rPr>
        <w:t xml:space="preserve">partner links</w:t>
      </w:r>
      <w:r>
        <w:t xml:space="preserve"> </w:t>
      </w:r>
      <w:r>
        <w:t xml:space="preserve">matter: IDOC’s website alone sent us 1,600 visitors last year; sister agencies should be asked to link the dashboard from their statistics pages.</w:t>
      </w:r>
    </w:p>
    <w:bookmarkEnd w:id="11"/>
    <w:bookmarkStart w:id="12" w:name="X7ad2d62ccc85ab2b8dd8cfdd607bd7386ed4b74"/>
    <w:p>
      <w:pPr>
        <w:pStyle w:val="Heading2"/>
      </w:pPr>
      <w:r>
        <w:t xml:space="preserve">4. The playbook — launch sequence for any state-mandated page</w:t>
      </w:r>
    </w:p>
    <w:p>
      <w:pPr>
        <w:pStyle w:val="Compact"/>
        <w:numPr>
          <w:ilvl w:val="0"/>
          <w:numId w:val="1002"/>
        </w:numPr>
      </w:pPr>
      <w:r>
        <w:rPr>
          <w:b/>
          <w:bCs/>
        </w:rPr>
        <w:t xml:space="preserve">Day 1 — Findability floor.</w:t>
      </w:r>
      <w:r>
        <w:t xml:space="preserve"> </w:t>
      </w:r>
      <w:r>
        <w:t xml:space="preserve">Menu link, the site’s internal search, and the page index that search engines read (the sitemap). Do it — just don’t mistake it for promotion.</w:t>
      </w:r>
    </w:p>
    <w:p>
      <w:pPr>
        <w:pStyle w:val="Compact"/>
        <w:numPr>
          <w:ilvl w:val="0"/>
          <w:numId w:val="1002"/>
        </w:numPr>
      </w:pPr>
      <w:r>
        <w:rPr>
          <w:b/>
          <w:bCs/>
        </w:rPr>
        <w:t xml:space="preserve">Week 1 — Research Hub article.</w:t>
      </w:r>
      <w:r>
        <w:t xml:space="preserve"> </w:t>
      </w:r>
      <w:r>
        <w:t xml:space="preserve">Three or four key findings in plain language, a chart or two, prominent link to the live page.</w:t>
      </w:r>
    </w:p>
    <w:p>
      <w:pPr>
        <w:pStyle w:val="Compact"/>
        <w:numPr>
          <w:ilvl w:val="0"/>
          <w:numId w:val="1002"/>
        </w:numPr>
      </w:pPr>
      <w:r>
        <w:rPr>
          <w:b/>
          <w:bCs/>
        </w:rPr>
        <w:t xml:space="preserve">Week 1 — CJ Dispatch feature.</w:t>
      </w:r>
      <w:r>
        <w:t xml:space="preserve"> </w:t>
      </w:r>
      <w:r>
        <w:t xml:space="preserve">Lead item or dedicated send, linking to the article and the page.</w:t>
      </w:r>
    </w:p>
    <w:p>
      <w:pPr>
        <w:pStyle w:val="Compact"/>
        <w:numPr>
          <w:ilvl w:val="0"/>
          <w:numId w:val="1002"/>
        </w:numPr>
      </w:pPr>
      <w:r>
        <w:rPr>
          <w:b/>
          <w:bCs/>
        </w:rPr>
        <w:t xml:space="preserve">Weeks 1–4 — Social push.</w:t>
      </w:r>
      <w:r>
        <w:t xml:space="preserve"> </w:t>
      </w:r>
      <w:r>
        <w:t xml:space="preserve">Launch post on LinkedIn, X, and Facebook, then one stat-of-the-week per week for a month.</w:t>
      </w:r>
    </w:p>
    <w:p>
      <w:pPr>
        <w:pStyle w:val="Compact"/>
        <w:numPr>
          <w:ilvl w:val="0"/>
          <w:numId w:val="1002"/>
        </w:numPr>
      </w:pPr>
      <w:r>
        <w:rPr>
          <w:b/>
          <w:bCs/>
        </w:rPr>
        <w:t xml:space="preserve">Week 1 — Homepage news item.</w:t>
      </w:r>
      <w:r>
        <w:t xml:space="preserve"> </w:t>
      </w:r>
      <w:r>
        <w:t xml:space="preserve">Posted the same day as the Dispatch send, so homepage visitors see a consistent story.</w:t>
      </w:r>
    </w:p>
    <w:p>
      <w:pPr>
        <w:pStyle w:val="Compact"/>
        <w:numPr>
          <w:ilvl w:val="0"/>
          <w:numId w:val="1002"/>
        </w:numPr>
      </w:pPr>
      <w:r>
        <w:rPr>
          <w:b/>
          <w:bCs/>
        </w:rPr>
        <w:t xml:space="preserve">Weeks 1–2 — In-article callouts.</w:t>
      </w:r>
      <w:r>
        <w:t xml:space="preserve"> </w:t>
      </w:r>
      <w:r>
        <w:t xml:space="preserve">Add a short</w:t>
      </w:r>
      <w:r>
        <w:t xml:space="preserve"> </w:t>
      </w:r>
      <w:r>
        <w:t xml:space="preserve">“New: Illinois Homicide Clearance Dashboard”</w:t>
      </w:r>
      <w:r>
        <w:t xml:space="preserve"> </w:t>
      </w:r>
      <w:r>
        <w:t xml:space="preserve">promo to the most-read related Hub articles — the site’s real front door (~42,000 readers/year across the top ten).</w:t>
      </w:r>
    </w:p>
    <w:p>
      <w:pPr>
        <w:pStyle w:val="Compact"/>
        <w:numPr>
          <w:ilvl w:val="0"/>
          <w:numId w:val="1002"/>
        </w:numPr>
      </w:pPr>
      <w:r>
        <w:rPr>
          <w:b/>
          <w:bCs/>
        </w:rPr>
        <w:t xml:space="preserve">Week 2 — Partner links.</w:t>
      </w:r>
      <w:r>
        <w:t xml:space="preserve"> </w:t>
      </w:r>
      <w:r>
        <w:t xml:space="preserve">Ask IDOC, ISP, ILETSB, and other sister agencies to link the page from their data/statistics sections.</w:t>
      </w:r>
    </w:p>
    <w:p>
      <w:pPr>
        <w:pStyle w:val="Compact"/>
        <w:numPr>
          <w:ilvl w:val="0"/>
          <w:numId w:val="1002"/>
        </w:numPr>
      </w:pPr>
      <w:r>
        <w:rPr>
          <w:b/>
          <w:bCs/>
        </w:rPr>
        <w:t xml:space="preserve">Always — Tag every link</w:t>
      </w:r>
      <w:r>
        <w:t xml:space="preserve"> </w:t>
      </w:r>
      <w:r>
        <w:t xml:space="preserve">— owned by Communications, who build the tagged links into each send and post (see</w:t>
      </w:r>
      <w:r>
        <w:t xml:space="preserve"> </w:t>
      </w:r>
      <w:r>
        <w:t xml:space="preserve">“UTM tags,”</w:t>
      </w:r>
      <w:r>
        <w:t xml:space="preserve"> </w:t>
      </w:r>
      <w:r>
        <w:t xml:space="preserve">below). 98% of our visits carry no tag today, so email and social wins hide inside</w:t>
      </w:r>
      <w:r>
        <w:t xml:space="preserve"> </w:t>
      </w:r>
      <w:r>
        <w:t xml:space="preserve">“Direct.”</w:t>
      </w:r>
      <w:r>
        <w:t xml:space="preserve"> </w:t>
      </w:r>
      <w:r>
        <w:t xml:space="preserve">A tagged link keeps its credit even when apps and email programs drop the origin information — the few tagged links that already reach us (another state agency’s email system) are counted perfectly. Tagging turns the next launch into evidence.</w:t>
      </w:r>
    </w:p>
    <w:p>
      <w:pPr>
        <w:pStyle w:val="Compact"/>
        <w:numPr>
          <w:ilvl w:val="0"/>
          <w:numId w:val="1002"/>
        </w:numPr>
      </w:pPr>
      <w:r>
        <w:rPr>
          <w:b/>
          <w:bCs/>
        </w:rPr>
        <w:t xml:space="preserve">Weeks 2 &amp; 6 — Report actuals.</w:t>
      </w:r>
      <w:r>
        <w:t xml:space="preserve"> </w:t>
      </w:r>
      <w:r>
        <w:t xml:space="preserve">A one-screen Plausible readout to managers: visits by channel, downloads, dashboard views. Closes the loop and builds the case for the next launch.</w:t>
      </w:r>
    </w:p>
    <w:bookmarkEnd w:id="12"/>
    <w:bookmarkStart w:id="13" w:name="utm-tags-how-we-prove-what-worked"/>
    <w:p>
      <w:pPr>
        <w:pStyle w:val="Heading2"/>
      </w:pPr>
      <w:r>
        <w:t xml:space="preserve">5. UTM tags: how we prove what worked</w:t>
      </w:r>
    </w:p>
    <w:p>
      <w:pPr>
        <w:pStyle w:val="FirstParagraph"/>
      </w:pPr>
      <w:r>
        <w:t xml:space="preserve">A UTM tag is a short label added to the end of a link’s address that names where the link was posted. The page ignores it; our analytics reads it. This is the entire technology:</w:t>
      </w:r>
    </w:p>
    <w:p>
      <w:pPr>
        <w:pStyle w:val="SourceCode"/>
      </w:pPr>
      <w:r>
        <w:rPr>
          <w:rStyle w:val="VerbatimChar"/>
        </w:rPr>
        <w:t xml:space="preserve">icjia.illinois.gov/homicide?utm_source=cjdispatch&amp;utm_medium=email&amp;utm_campaign=homicide-sept2026</w:t>
      </w:r>
    </w:p>
    <w:p>
      <w:pPr>
        <w:pStyle w:val="FirstParagraph"/>
      </w:pPr>
      <w:r>
        <w:t xml:space="preserve">Why it matters here: a tagged link is counted correctly</w:t>
      </w:r>
      <w:r>
        <w:t xml:space="preserve"> </w:t>
      </w:r>
      <w:r>
        <w:rPr>
          <w:i/>
          <w:iCs/>
        </w:rPr>
        <w:t xml:space="preserve">no matter what</w:t>
      </w:r>
      <w:r>
        <w:t xml:space="preserve"> </w:t>
      </w:r>
      <w:r>
        <w:t xml:space="preserve">— even when a social app or email program drops the</w:t>
      </w:r>
      <w:r>
        <w:t xml:space="preserve"> </w:t>
      </w:r>
      <w:r>
        <w:t xml:space="preserve">“where this click came from”</w:t>
      </w:r>
      <w:r>
        <w:t xml:space="preserve"> </w:t>
      </w:r>
      <w:r>
        <w:t xml:space="preserve">information — because the credit travels inside the link itself. It costs nothing, changes nothing on the website, and Constant Contact can add the tags automatically to every link in a send. With tags in place, the week-two report stops being</w:t>
      </w:r>
      <w:r>
        <w:t xml:space="preserve"> </w:t>
      </w:r>
      <w:r>
        <w:t xml:space="preserve">“traffic went up”</w:t>
      </w:r>
      <w:r>
        <w:t xml:space="preserve"> </w:t>
      </w:r>
      <w:r>
        <w:t xml:space="preserve">and becomes</w:t>
      </w:r>
      <w:r>
        <w:t xml:space="preserve"> </w:t>
      </w:r>
      <w:r>
        <w:t xml:space="preserve">“the Dispatch send drove 143 visits, LinkedIn 51, the news item 12”</w:t>
      </w:r>
      <w:r>
        <w:t xml:space="preserve"> </w:t>
      </w:r>
      <w:r>
        <w:t xml:space="preserve">— per channel, per campaign, per quarter.</w:t>
      </w:r>
    </w:p>
    <w:p>
      <w:pPr>
        <w:pStyle w:val="BodyText"/>
      </w:pPr>
      <w:r>
        <w:rPr>
          <w:b/>
          <w:bCs/>
        </w:rPr>
        <w:t xml:space="preserve">Who does this: the Communications team.</w:t>
      </w:r>
      <w:r>
        <w:t xml:space="preserve"> </w:t>
      </w:r>
      <w:r>
        <w:t xml:space="preserve">Comms builds the tagged links into the emails and posts they send — it is part of composing the message, not a website change, and nothing about it touches the web team’s code. The web team’s role is to supply the link recipes and read the results out of Plausible.</w:t>
      </w:r>
    </w:p>
    <w:p>
      <w:pPr>
        <w:pStyle w:val="BodyText"/>
      </w:pPr>
      <w:r>
        <w:t xml:space="preserve">The convention:</w:t>
      </w:r>
      <w:r>
        <w:t xml:space="preserve"> </w:t>
      </w:r>
      <w:r>
        <w:rPr>
          <w:b/>
          <w:bCs/>
        </w:rPr>
        <w:t xml:space="preserve">utm_source</w:t>
      </w:r>
      <w:r>
        <w:t xml:space="preserve"> </w:t>
      </w:r>
      <w:r>
        <w:t xml:space="preserve">names the channel (cjdispatch, linkedin, facebook, x, partner-idoc),</w:t>
      </w:r>
      <w:r>
        <w:t xml:space="preserve"> </w:t>
      </w:r>
      <w:r>
        <w:rPr>
          <w:b/>
          <w:bCs/>
        </w:rPr>
        <w:t xml:space="preserve">utm_medium</w:t>
      </w:r>
      <w:r>
        <w:t xml:space="preserve"> </w:t>
      </w:r>
      <w:r>
        <w:t xml:space="preserve">the type (email, social, referral),</w:t>
      </w:r>
      <w:r>
        <w:t xml:space="preserve"> </w:t>
      </w:r>
      <w:r>
        <w:rPr>
          <w:b/>
          <w:bCs/>
        </w:rPr>
        <w:t xml:space="preserve">utm_campaign</w:t>
      </w:r>
      <w:r>
        <w:t xml:space="preserve"> </w:t>
      </w:r>
      <w:r>
        <w:t xml:space="preserve">the release (homicide-sept2026). Tags belong on links distributed</w:t>
      </w:r>
      <w:r>
        <w:t xml:space="preserve"> </w:t>
      </w:r>
      <w:r>
        <w:rPr>
          <w:i/>
          <w:iCs/>
        </w:rPr>
        <w:t xml:space="preserve">outside</w:t>
      </w:r>
      <w:r>
        <w:t xml:space="preserve"> </w:t>
      </w:r>
      <w:r>
        <w:t xml:space="preserve">the site — never on the site’s own internal links, which would corrupt the numbers.</w:t>
      </w:r>
    </w:p>
    <w:bookmarkEnd w:id="13"/>
    <w:bookmarkStart w:id="14" w:name="the-bottom-line"/>
    <w:p>
      <w:pPr>
        <w:pStyle w:val="Heading2"/>
      </w:pPr>
      <w:r>
        <w:t xml:space="preserve">The bottom line</w:t>
      </w:r>
    </w:p>
    <w:p>
      <w:pPr>
        <w:pStyle w:val="FirstParagraph"/>
      </w:pPr>
      <w:r>
        <w:rPr>
          <w:b/>
          <w:bCs/>
        </w:rPr>
        <w:t xml:space="preserve">A menu item files the page. Outreach announces it.</w:t>
      </w:r>
      <w:r>
        <w:t xml:space="preserve"> </w:t>
      </w:r>
      <w:r>
        <w:t xml:space="preserve">Do both — but only one creates traffic.</w:t>
      </w:r>
    </w:p>
    <w:p>
      <w:pPr>
        <w:pStyle w:val="BodyText"/>
      </w:pPr>
      <w:r>
        <w:t xml:space="preserve">Passive-only, /homicide plateaus at tens of visitors a month. With the playbook, it gets hundreds of qualified visitors in week one, durable search and AI discovery through the Hub article, and a measured result we can show — a sequence we can repeat, on schedule, for every page the state asks us to stand up.</w:t>
      </w:r>
    </w:p>
    <w:p>
      <w:pPr>
        <w:pStyle w:val="BodyText"/>
      </w:pPr>
      <w:r>
        <w:t xml:space="preserve">Ranked honestly: the</w:t>
      </w:r>
      <w:r>
        <w:t xml:space="preserve"> </w:t>
      </w:r>
      <w:r>
        <w:rPr>
          <w:b/>
          <w:bCs/>
        </w:rPr>
        <w:t xml:space="preserve">Dispatch send</w:t>
      </w:r>
      <w:r>
        <w:t xml:space="preserve"> </w:t>
      </w:r>
      <w:r>
        <w:t xml:space="preserve">is the surest immediate win; the</w:t>
      </w:r>
      <w:r>
        <w:t xml:space="preserve"> </w:t>
      </w:r>
      <w:r>
        <w:rPr>
          <w:b/>
          <w:bCs/>
        </w:rPr>
        <w:t xml:space="preserve">Hub article</w:t>
      </w:r>
      <w:r>
        <w:t xml:space="preserve"> </w:t>
      </w:r>
      <w:r>
        <w:t xml:space="preserve">is the one that keeps paying;</w:t>
      </w:r>
      <w:r>
        <w:t xml:space="preserve"> </w:t>
      </w:r>
      <w:r>
        <w:rPr>
          <w:b/>
          <w:bCs/>
        </w:rPr>
        <w:t xml:space="preserve">social</w:t>
      </w:r>
      <w:r>
        <w:t xml:space="preserve"> </w:t>
      </w:r>
      <w:r>
        <w:t xml:space="preserve">multiplies both and is the only channel that reaches people who never search for us. No single channel is</w:t>
      </w:r>
      <w:r>
        <w:t xml:space="preserve"> </w:t>
      </w:r>
      <w:r>
        <w:t xml:space="preserve">“the key”</w:t>
      </w:r>
      <w:r>
        <w:t xml:space="preserve"> </w:t>
      </w:r>
      <w:r>
        <w:t xml:space="preserve">— the sequence is.</w:t>
      </w:r>
    </w:p>
    <w:p>
      <w:r>
        <w:pict>
          <v:rect style="width:0;height:1.5pt" o:hralign="center" o:hrstd="t" o:hr="t"/>
        </w:pict>
      </w:r>
    </w:p>
    <w:p>
      <w:pPr>
        <w:pStyle w:val="FirstParagraph"/>
      </w:pPr>
      <w:r>
        <w:rPr>
          <w:b/>
          <w:bCs/>
        </w:rPr>
        <w:t xml:space="preserve">Data:</w:t>
      </w:r>
      <w:r>
        <w:t xml:space="preserve"> </w:t>
      </w:r>
      <w:r>
        <w:t xml:space="preserve">ICJIA’s own analytics (Plausible, self-hosted at plausible.icjia.cloud), icjia.illinois.gov, last 12 months ending Aug 26, 2026, except as noted. /homicide figures: since its Aug 25 launch, unannounced.</w:t>
      </w:r>
    </w:p>
    <w:p>
      <w:pPr>
        <w:pStyle w:val="BodyText"/>
      </w:pPr>
      <w:r>
        <w:rPr>
          <w:b/>
          <w:bCs/>
        </w:rPr>
        <w:t xml:space="preserve">Email projections:</w:t>
      </w:r>
      <w:r>
        <w:t xml:space="preserve"> </w:t>
      </w:r>
      <w:r>
        <w:t xml:space="preserve">4,000 subscribers × 30% open × 3% click-through. Published 2026 government-sector benchmarks run 30–47% open and 2–4% click (Constant Contact benchmark reports; WebFX industry benchmarks) — the model deliberately sits at the bottom of those ranges.</w:t>
      </w:r>
    </w:p>
    <w:p>
      <w:pPr>
        <w:pStyle w:val="BodyText"/>
      </w:pPr>
      <w:r>
        <w:rPr>
          <w:b/>
          <w:bCs/>
        </w:rPr>
        <w:t xml:space="preserve">Social accounting (sitewide, not page-specific):</w:t>
      </w:r>
      <w:r>
        <w:t xml:space="preserve"> </w:t>
      </w:r>
      <w:r>
        <w:t xml:space="preserve">credited social over the last 12 months = 1,520 visitors / 1,730 visits — Facebook ≈1,100 (including its mobile-app addresses), LinkedIn 291, X 87, Instagram 43 — i.e. 2.5% of visitors, 1.2% of visits. Lifetime since tracking began (~2021): Facebook 2.1% and LinkedIn 0.7% of 178,300 visitors — the credited share has never been materially higher. It is a lower bound; see</w:t>
      </w:r>
      <w:r>
        <w:t xml:space="preserve"> </w:t>
      </w:r>
      <w:r>
        <w:t xml:space="preserve">“what Direct is hiding”</w:t>
      </w:r>
      <w:r>
        <w:t xml:space="preserve"> </w:t>
      </w:r>
      <w:r>
        <w:t xml:space="preserve">above. UTM tagging in use today: 98%+ of visits untagged (tagged: 79 email, 5 social — all year).</w:t>
      </w:r>
    </w:p>
    <w:p>
      <w:pPr>
        <w:pStyle w:val="BodyText"/>
      </w:pPr>
      <w:r>
        <w:t xml:space="preserve">Prepared by the ICJIA web team.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Publishing Isn't Promotion</dc:title>
  <dc:creator/>
  <cp:keywords/>
  <dcterms:created xsi:type="dcterms:W3CDTF">2026-08-26T20:32:30Z</dcterms:created>
  <dcterms:modified xsi:type="dcterms:W3CDTF">2026-08-26T20:32:30Z</dcterms:modified>
</cp:coreProperties>
</file>

<file path=docProps/custom.xml><?xml version="1.0" encoding="utf-8"?>
<Properties xmlns="http://schemas.openxmlformats.org/officeDocument/2006/custom-properties" xmlns:vt="http://schemas.openxmlformats.org/officeDocument/2006/docPropsVTypes"/>
</file>