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재무관리(Financial Management) 기말고사 개념 요약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>광운대 재무관리 (담당: 이효정 교수) · 주교재: Brigham &amp; Houston, *Essentials of Financial Management*, 5e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>기말고사 예정일: 6월 11일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0. 강의계획서 기반 평가 기준 &amp; 시험 정보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성적평가방법 (강의계획서)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평가요소</w:t>
            </w:r>
          </w:p>
        </w:tc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비중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출석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10%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조별과제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중간고사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35%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기말고사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35%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상대평가</w:t>
      </w:r>
      <w:r>
        <w:rPr>
          <w:rFonts w:ascii="맑은 고딕" w:hAnsi="맑은 고딕" w:eastAsia="맑은 고딕"/>
          <w:sz w:val="21"/>
        </w:rPr>
        <w:t xml:space="preserve">: 합산 점수 상위 30% → </w:t>
      </w:r>
      <w:r>
        <w:rPr>
          <w:rFonts w:ascii="맑은 고딕" w:hAnsi="맑은 고딕" w:eastAsia="맑은 고딕"/>
          <w:b/>
          <w:sz w:val="21"/>
        </w:rPr>
        <w:t>A</w:t>
      </w:r>
      <w:r>
        <w:rPr>
          <w:rFonts w:ascii="맑은 고딕" w:hAnsi="맑은 고딕" w:eastAsia="맑은 고딕"/>
          <w:sz w:val="21"/>
        </w:rPr>
        <w:t xml:space="preserve">, 차상위 40% → </w:t>
      </w:r>
      <w:r>
        <w:rPr>
          <w:rFonts w:ascii="맑은 고딕" w:hAnsi="맑은 고딕" w:eastAsia="맑은 고딕"/>
          <w:b/>
          <w:sz w:val="21"/>
        </w:rPr>
        <w:t>B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전체 수업일수의 1/4 이상 결석 시 </w:t>
      </w:r>
      <w:r>
        <w:rPr>
          <w:rFonts w:ascii="맑은 고딕" w:hAnsi="맑은 고딕" w:eastAsia="맑은 고딕"/>
          <w:b/>
          <w:sz w:val="21"/>
        </w:rPr>
        <w:t>F</w:t>
      </w:r>
      <w:r>
        <w:rPr>
          <w:rFonts w:ascii="맑은 고딕" w:hAnsi="맑은 고딕" w:eastAsia="맑은 고딕"/>
          <w:sz w:val="21"/>
        </w:rPr>
        <w:t xml:space="preserve"> (학칙 제55조)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중간·기말 중 하나라도 결시하면 학점 부여 불가(F)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시험 형식 (강의계획서 + 수강후기 종합)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출제 언어</w:t>
      </w:r>
      <w:r>
        <w:rPr>
          <w:rFonts w:ascii="맑은 고딕" w:hAnsi="맑은 고딕" w:eastAsia="맑은 고딕"/>
          <w:sz w:val="21"/>
        </w:rPr>
        <w:t>: 한글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문제 유형</w:t>
      </w:r>
      <w:r>
        <w:rPr>
          <w:rFonts w:ascii="맑은 고딕" w:hAnsi="맑은 고딕" w:eastAsia="맑은 고딕"/>
          <w:sz w:val="21"/>
        </w:rPr>
        <w:t xml:space="preserve">: ① True/False형 ② 4지선다형 ③ 주요 개념 </w:t>
      </w:r>
      <w:r>
        <w:rPr>
          <w:rFonts w:ascii="맑은 고딕" w:hAnsi="맑은 고딕" w:eastAsia="맑은 고딕"/>
          <w:b/>
          <w:sz w:val="21"/>
        </w:rPr>
        <w:t>단답형</w:t>
      </w:r>
      <w:r>
        <w:rPr>
          <w:rFonts w:ascii="맑은 고딕" w:hAnsi="맑은 고딕" w:eastAsia="맑은 고딕"/>
          <w:sz w:val="21"/>
        </w:rPr>
        <w:t xml:space="preserve"> ④ 간단한 </w:t>
      </w:r>
      <w:r>
        <w:rPr>
          <w:rFonts w:ascii="맑은 고딕" w:hAnsi="맑은 고딕" w:eastAsia="맑은 고딕"/>
          <w:b/>
          <w:sz w:val="21"/>
        </w:rPr>
        <w:t>계산형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방식</w:t>
      </w:r>
      <w:r>
        <w:rPr>
          <w:rFonts w:ascii="맑은 고딕" w:hAnsi="맑은 고딕" w:eastAsia="맑은 고딕"/>
          <w:sz w:val="21"/>
        </w:rPr>
        <w:t>: Closed book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준비물(기말)</w:t>
      </w:r>
      <w:r>
        <w:rPr>
          <w:rFonts w:ascii="맑은 고딕" w:hAnsi="맑은 고딕" w:eastAsia="맑은 고딕"/>
          <w:sz w:val="21"/>
        </w:rPr>
        <w:t>: 재무용 계산기(TI BAII PLUS) 또는 재무용 계산기 앱이 설치된 휴대폰(시험 중 비행기 모드)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수강후기: 약 </w:t>
      </w:r>
      <w:r>
        <w:rPr>
          <w:rFonts w:ascii="맑은 고딕" w:hAnsi="맑은 고딕" w:eastAsia="맑은 고딕"/>
          <w:b/>
          <w:sz w:val="21"/>
        </w:rPr>
        <w:t>40문제</w:t>
      </w:r>
      <w:r>
        <w:rPr>
          <w:rFonts w:ascii="맑은 고딕" w:hAnsi="맑은 고딕" w:eastAsia="맑은 고딕"/>
          <w:sz w:val="21"/>
        </w:rPr>
        <w:t xml:space="preserve">, T/F 10개 + 객관식/계산. 교수님이 시험 전 올려주는 </w:t>
      </w:r>
      <w:r>
        <w:rPr>
          <w:rFonts w:ascii="맑은 고딕" w:hAnsi="맑은 고딕" w:eastAsia="맑은 고딕"/>
          <w:b/>
          <w:sz w:val="21"/>
        </w:rPr>
        <w:t>연습문제 필수 풀이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기말 시험범위 (첨부 자료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Ch.</w:t>
            </w:r>
          </w:p>
        </w:tc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Ch.5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Time Value of Money (화폐의 시간가치)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Ch.8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Risk and Rates of Return (위험과 수익률)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Ch.9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Bonds and Their Valuation (채권의 가치평가)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Ch.10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Stocks and Their Valuation (주식의 가치평가)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Ch.11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The Cost of Capital (자본비용)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Ch.12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The Basics of Capital Budgeting (자본예산)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참고: 강의계획서 Class Schedule상 </w:t>
      </w:r>
      <w:r>
        <w:rPr>
          <w:rFonts w:ascii="맑은 고딕" w:hAnsi="맑은 고딕" w:eastAsia="맑은 고딕"/>
          <w:b/>
          <w:i/>
          <w:color w:val="555555"/>
          <w:sz w:val="19"/>
        </w:rPr>
        <w:t>Ch.7 Interest Rates</w:t>
      </w:r>
      <w:r>
        <w:rPr>
          <w:rFonts w:ascii="맑은 고딕" w:hAnsi="맑은 고딕" w:eastAsia="맑은 고딕"/>
          <w:i/>
          <w:color w:val="555555"/>
          <w:sz w:val="19"/>
        </w:rPr>
        <w:t>도 기말 범위(9주차)에 해당하나, 이번에 첨부된 자료에는 강의교안이 없어 본 요약에서는 다루지 않았습니다. Ch.9(채권)의 이자율 구성요소 부분과 일부 겹치니 그쪽을 참고하세요.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Chapter 5. 화폐의 시간가치 (Time Value of Money)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재무 전체에서 </w:t>
      </w:r>
      <w:r>
        <w:rPr>
          <w:rFonts w:ascii="맑은 고딕" w:hAnsi="맑은 고딕" w:eastAsia="맑은 고딕"/>
          <w:b/>
          <w:i/>
          <w:color w:val="555555"/>
          <w:sz w:val="19"/>
        </w:rPr>
        <w:t>가장 중요한 단일 개념</w:t>
      </w:r>
      <w:r>
        <w:rPr>
          <w:rFonts w:ascii="맑은 고딕" w:hAnsi="맑은 고딕" w:eastAsia="맑은 고딕"/>
          <w:i/>
          <w:color w:val="555555"/>
          <w:sz w:val="19"/>
        </w:rPr>
        <w:t>. 은퇴설계·주식/채권 가치평가·대출 상환계획·기업 투자결정에 모두 적용.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핵심 개념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Time line(타임라인)</w:t>
      </w:r>
      <w:r>
        <w:rPr>
          <w:rFonts w:ascii="맑은 고딕" w:hAnsi="맑은 고딕" w:eastAsia="맑은 고딕"/>
          <w:sz w:val="21"/>
        </w:rPr>
        <w:t xml:space="preserve">: 현금흐름이 발생하는 </w:t>
      </w:r>
      <w:r>
        <w:rPr>
          <w:rFonts w:ascii="맑은 고딕" w:hAnsi="맑은 고딕" w:eastAsia="맑은 고딕"/>
          <w:b/>
          <w:sz w:val="21"/>
        </w:rPr>
        <w:t>시기</w:t>
      </w:r>
      <w:r>
        <w:rPr>
          <w:rFonts w:ascii="맑은 고딕" w:hAnsi="맑은 고딕" w:eastAsia="맑은 고딕"/>
          <w:sz w:val="21"/>
        </w:rPr>
        <w:t>를 그래프로 표시한 것. 모든 문제는 타임라인부터 그린다.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현재가치(PV)</w:t>
      </w:r>
      <w:r>
        <w:rPr>
          <w:rFonts w:ascii="맑은 고딕" w:hAnsi="맑은 고딕" w:eastAsia="맑은 고딕"/>
          <w:sz w:val="21"/>
        </w:rPr>
        <w:t xml:space="preserve">: 미래 현금흐름을 현재 시점 가치로 환산한 금액. 이때 쓰는 이자율을 </w:t>
      </w:r>
      <w:r>
        <w:rPr>
          <w:rFonts w:ascii="맑은 고딕" w:hAnsi="맑은 고딕" w:eastAsia="맑은 고딕"/>
          <w:b/>
          <w:sz w:val="21"/>
        </w:rPr>
        <w:t>할인율(discount rate)</w:t>
      </w:r>
      <w:r>
        <w:rPr>
          <w:rFonts w:ascii="맑은 고딕" w:hAnsi="맑은 고딕" w:eastAsia="맑은 고딕"/>
          <w:sz w:val="21"/>
        </w:rPr>
        <w:t xml:space="preserve"> 이라 부름.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미래가치(FV)</w:t>
      </w:r>
      <w:r>
        <w:rPr>
          <w:rFonts w:ascii="맑은 고딕" w:hAnsi="맑은 고딕" w:eastAsia="맑은 고딕"/>
          <w:sz w:val="21"/>
        </w:rPr>
        <w:t>: 현재 금액을 미래 시점 가치로 환산한 금액.</w:t>
      </w:r>
    </w:p>
    <w:p>
      <w:pPr>
        <w:pStyle w:val="ListBullet"/>
        <w:ind w:left="1080"/>
      </w:pPr>
      <w:r>
        <w:rPr>
          <w:rFonts w:ascii="맑은 고딕" w:hAnsi="맑은 고딕" w:eastAsia="맑은 고딕"/>
          <w:color w:val="1F4E79"/>
          <w:sz w:val="21"/>
        </w:rPr>
        <w:t>PV = FV_N(1+I)^N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color w:val="1F4E79"/>
          <w:sz w:val="21"/>
        </w:rPr>
        <w:t>FV_N = PV(1+I)^N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단리 vs 복리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단리(simple interest)</w:t>
      </w:r>
      <w:r>
        <w:rPr>
          <w:rFonts w:ascii="맑은 고딕" w:hAnsi="맑은 고딕" w:eastAsia="맑은 고딕"/>
          <w:sz w:val="21"/>
        </w:rPr>
        <w:t>: 원금에만 이자. 재무에서 거의 안 씀.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복리(compounding)</w:t>
      </w:r>
      <w:r>
        <w:rPr>
          <w:rFonts w:ascii="맑은 고딕" w:hAnsi="맑은 고딕" w:eastAsia="맑은 고딕"/>
          <w:sz w:val="21"/>
        </w:rPr>
        <w:t xml:space="preserve">: 이전 기간에 발생한 </w:t>
      </w:r>
      <w:r>
        <w:rPr>
          <w:rFonts w:ascii="맑은 고딕" w:hAnsi="맑은 고딕" w:eastAsia="맑은 고딕"/>
          <w:b/>
          <w:sz w:val="21"/>
        </w:rPr>
        <w:t>이자에 다시 이자</w:t>
      </w:r>
      <w:r>
        <w:rPr>
          <w:rFonts w:ascii="맑은 고딕" w:hAnsi="맑은 고딕" w:eastAsia="맑은 고딕"/>
          <w:sz w:val="21"/>
        </w:rPr>
        <w:t xml:space="preserve">가 붙음. → 시간이 지날수록 매년 이자액이 </w:t>
      </w:r>
      <w:r>
        <w:rPr>
          <w:rFonts w:ascii="맑은 고딕" w:hAnsi="맑은 고딕" w:eastAsia="맑은 고딕"/>
          <w:b/>
          <w:sz w:val="21"/>
        </w:rPr>
        <w:t>증가</w:t>
      </w:r>
      <w:r>
        <w:rPr>
          <w:rFonts w:ascii="맑은 고딕" w:hAnsi="맑은 고딕" w:eastAsia="맑은 고딕"/>
          <w:sz w:val="21"/>
        </w:rPr>
        <w:t>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현금흐름의 유형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Lump sum(일시금)</w:t>
      </w:r>
      <w:r>
        <w:rPr>
          <w:rFonts w:ascii="맑은 고딕" w:hAnsi="맑은 고딕" w:eastAsia="맑은 고딕"/>
          <w:sz w:val="21"/>
        </w:rPr>
        <w:t>: 0시점 또는 한 시점에 한 번 유출입 (예: 정기예금)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Annuity(연금)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동일 금액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맑은 고딕" w:hAnsi="맑은 고딕" w:eastAsia="맑은 고딕"/>
          <w:b/>
          <w:sz w:val="21"/>
        </w:rPr>
        <w:t>동일 간격</w:t>
      </w:r>
      <w:r>
        <w:rPr>
          <w:rFonts w:ascii="맑은 고딕" w:hAnsi="맑은 고딕" w:eastAsia="맑은 고딕"/>
          <w:sz w:val="21"/>
        </w:rPr>
        <w:t>으로 지급 (예: 정기적금, 연금)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Uneven cash flow(불규칙 현금흐름)</w:t>
      </w:r>
      <w:r>
        <w:rPr>
          <w:rFonts w:ascii="맑은 고딕" w:hAnsi="맑은 고딕" w:eastAsia="맑은 고딕"/>
          <w:sz w:val="21"/>
        </w:rPr>
        <w:t>: 시점마다 금액이 다름 (예: 주식 배당)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핵심: </w:t>
      </w:r>
      <w:r>
        <w:rPr>
          <w:rFonts w:ascii="맑은 고딕" w:hAnsi="맑은 고딕" w:eastAsia="맑은 고딕"/>
          <w:b/>
          <w:i/>
          <w:color w:val="555555"/>
          <w:sz w:val="19"/>
        </w:rPr>
        <w:t>PV, FV, I, N, PMT</w:t>
      </w:r>
      <w:r>
        <w:rPr>
          <w:rFonts w:ascii="맑은 고딕" w:hAnsi="맑은 고딕" w:eastAsia="맑은 고딕"/>
          <w:i/>
          <w:color w:val="555555"/>
          <w:sz w:val="19"/>
        </w:rPr>
        <w:t xml:space="preserve"> 5가지 요소 중 4개를 주고 나머지 1개를 구하는 문제 → 재무계산기 활용.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연금의 종류 (★빈출 T/F)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Ordinary annuity(기말연금)</w:t>
      </w:r>
      <w:r>
        <w:rPr>
          <w:rFonts w:ascii="맑은 고딕" w:hAnsi="맑은 고딕" w:eastAsia="맑은 고딕"/>
          <w:sz w:val="21"/>
        </w:rPr>
        <w:t xml:space="preserve">: 매기 </w:t>
      </w:r>
      <w:r>
        <w:rPr>
          <w:rFonts w:ascii="맑은 고딕" w:hAnsi="맑은 고딕" w:eastAsia="맑은 고딕"/>
          <w:b/>
          <w:sz w:val="21"/>
        </w:rPr>
        <w:t>말</w:t>
      </w:r>
      <w:r>
        <w:rPr>
          <w:rFonts w:ascii="맑은 고딕" w:hAnsi="맑은 고딕" w:eastAsia="맑은 고딕"/>
          <w:sz w:val="21"/>
        </w:rPr>
        <w:t>에 지급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Annuity due(기초연금)</w:t>
      </w:r>
      <w:r>
        <w:rPr>
          <w:rFonts w:ascii="맑은 고딕" w:hAnsi="맑은 고딕" w:eastAsia="맑은 고딕"/>
          <w:sz w:val="21"/>
        </w:rPr>
        <w:t xml:space="preserve">: 매기 </w:t>
      </w:r>
      <w:r>
        <w:rPr>
          <w:rFonts w:ascii="맑은 고딕" w:hAnsi="맑은 고딕" w:eastAsia="맑은 고딕"/>
          <w:b/>
          <w:sz w:val="21"/>
        </w:rPr>
        <w:t>초</w:t>
      </w:r>
      <w:r>
        <w:rPr>
          <w:rFonts w:ascii="맑은 고딕" w:hAnsi="맑은 고딕" w:eastAsia="맑은 고딕"/>
          <w:sz w:val="21"/>
        </w:rPr>
        <w:t>에 지급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PV·FV 모두에서 `기초연금 &gt; 기말연금`</w:t>
      </w:r>
      <w:r>
        <w:rPr>
          <w:rFonts w:ascii="맑은 고딕" w:hAnsi="맑은 고딕" w:eastAsia="맑은 고딕"/>
          <w:sz w:val="21"/>
        </w:rPr>
        <w:t xml:space="preserve"> (불입 시기가 더 빨라 복리를 한 번 더 받기 때문)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영구연금 (Perpetuity)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만기 없이 영원히 일정 금액을 지급: </w:t>
      </w:r>
      <w:r>
        <w:rPr>
          <w:rFonts w:ascii="맑은 고딕" w:hAnsi="맑은 고딕" w:eastAsia="맑은 고딕"/>
          <w:color w:val="1F4E79"/>
          <w:sz w:val="21"/>
        </w:rPr>
        <w:t>PV = PMTI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이자율 비교 (★중요 개념)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32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명목이자율 (Nominal, INOM / APR)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금융상품에 고시되는 이자율. </w:t>
            </w:r>
            <w:r>
              <w:rPr>
                <w:rFonts w:ascii="맑은 고딕" w:hAnsi="맑은 고딕" w:eastAsia="맑은 고딕"/>
                <w:b/>
                <w:sz w:val="20"/>
              </w:rPr>
              <w:t>복리효과 미고려.</w:t>
            </w:r>
            <w:r>
              <w:rPr>
                <w:rFonts w:ascii="맑은 고딕" w:hAnsi="맑은 고딕" w:eastAsia="맑은 고딕"/>
                <w:sz w:val="20"/>
              </w:rPr>
              <w:t xml:space="preserve"> = 기간이자율 × 연간 지급횟수</w:t>
            </w:r>
          </w:p>
        </w:tc>
      </w:tr>
      <w:tr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기간이자율 (Periodic, IPER)</w:t>
            </w:r>
          </w:p>
        </w:tc>
        <w:tc>
          <w:tcPr>
            <w:tcW w:type="dxa" w:w="432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매 기간 주어지는 이자율. </w:t>
            </w:r>
            <w:r>
              <w:rPr>
                <w:rFonts w:ascii="맑은 고딕" w:hAnsi="맑은 고딕" w:eastAsia="맑은 고딕"/>
                <w:color w:val="1F4E79"/>
                <w:sz w:val="20"/>
              </w:rPr>
              <w:t>I_PER = I_NOM/M</w:t>
            </w:r>
            <w:r>
              <w:rPr>
                <w:rFonts w:ascii="맑은 고딕" w:hAnsi="맑은 고딕" w:eastAsia="맑은 고딕"/>
                <w:sz w:val="20"/>
              </w:rPr>
              <w:t xml:space="preserve"> (M=연간 복리 횟수)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실효연이자율 (Effective, EAR/IEFF)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1년간 실제로 얻는 이자율. 복리효과 반영.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color w:val="1F4E79"/>
          <w:sz w:val="21"/>
        </w:rPr>
        <w:t>EAR = ≤ft(1 + I_NOMM)^M - 1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연 1회 복리면 EAR = INOM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연 2회 이상 복리면 EAR &gt; INOM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예: 명목 12% → 반기복리 EAR 12.36%, 분기복리 12.55%, 일복리는 더 높음</w:t>
      </w:r>
    </w:p>
    <w:p>
      <w:pPr>
        <w:pStyle w:val="ListBullet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>복리 주기가 다른 투자안을 비교할 때는 반드시 EAR로 변환 후 비교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원리금균등상환대출 (Amortized Loan)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만기까지 </w:t>
      </w:r>
      <w:r>
        <w:rPr>
          <w:rFonts w:ascii="맑은 고딕" w:hAnsi="맑은 고딕" w:eastAsia="맑은 고딕"/>
          <w:b/>
          <w:sz w:val="21"/>
        </w:rPr>
        <w:t>매기 동일한 금액(PMT)</w:t>
      </w:r>
      <w:r>
        <w:rPr>
          <w:rFonts w:ascii="맑은 고딕" w:hAnsi="맑은 고딕" w:eastAsia="맑은 고딕"/>
          <w:sz w:val="21"/>
        </w:rPr>
        <w:t xml:space="preserve"> 으로 상환하는 대출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각 상환액 = </w:t>
      </w:r>
      <w:r>
        <w:rPr>
          <w:rFonts w:ascii="맑은 고딕" w:hAnsi="맑은 고딕" w:eastAsia="맑은 고딕"/>
          <w:b/>
          <w:sz w:val="21"/>
        </w:rPr>
        <w:t>이자 부분 + 원금상환 부분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시간이 지날수록: </w:t>
      </w:r>
      <w:r>
        <w:rPr>
          <w:rFonts w:ascii="맑은 고딕" w:hAnsi="맑은 고딕" w:eastAsia="맑은 고딕"/>
          <w:b/>
          <w:sz w:val="21"/>
        </w:rPr>
        <w:t>이자 부분 ↓, 원금상환 부분 ↑</w:t>
      </w:r>
      <w:r>
        <w:rPr>
          <w:rFonts w:ascii="맑은 고딕" w:hAnsi="맑은 고딕" w:eastAsia="맑은 고딕"/>
          <w:sz w:val="21"/>
        </w:rPr>
        <w:t xml:space="preserve"> (대출잔액이 줄어들기 때문)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특징: 상환액 일정 / 이자 감소 / 잔액 감소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Chapter 8. 위험과 수익률 (Risk and Rates of Return)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기본 개념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위험-수익 상충관계(risk-return trade-off)</w:t>
      </w:r>
      <w:r>
        <w:rPr>
          <w:rFonts w:ascii="맑은 고딕" w:hAnsi="맑은 고딕" w:eastAsia="맑은 고딕"/>
          <w:sz w:val="21"/>
        </w:rPr>
        <w:t>: 투자자는 수익은 원하고 위험은 싫어함 → 위험이 큰 투자안은 더 높은 수익을 줘야 함.</w:t>
      </w:r>
    </w:p>
    <w:p>
      <w:pPr>
        <w:pStyle w:val="ListBullet"/>
      </w:pPr>
      <w:r>
        <w:rPr>
          <w:rFonts w:ascii="맑은 고딕" w:hAnsi="맑은 고딕" w:eastAsia="맑은 고딕"/>
          <w:color w:val="1F4E79"/>
          <w:sz w:val="21"/>
        </w:rPr>
        <w:t>r_risky,i = r_f + risk premium_i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위험의 종류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Stand-alone risk(개별위험)</w:t>
      </w:r>
      <w:r>
        <w:rPr>
          <w:rFonts w:ascii="맑은 고딕" w:hAnsi="맑은 고딕" w:eastAsia="맑은 고딕"/>
          <w:sz w:val="21"/>
        </w:rPr>
        <w:t>: 한 자산만 보유했을 때의 위험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Portfolio risk(포트폴리오위험)</w:t>
      </w:r>
      <w:r>
        <w:rPr>
          <w:rFonts w:ascii="맑은 고딕" w:hAnsi="맑은 고딕" w:eastAsia="맑은 고딕"/>
          <w:sz w:val="21"/>
        </w:rPr>
        <w:t>: 여러 자산을 보유했을 때의 위험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개별위험(Stand-alone risk) 측정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확률분포</w:t>
      </w:r>
      <w:r>
        <w:rPr>
          <w:rFonts w:ascii="맑은 고딕" w:hAnsi="맑은 고딕" w:eastAsia="맑은 고딕"/>
          <w:sz w:val="21"/>
        </w:rPr>
        <w:t>: 미래 상태별 발생 확률과 그때의 수익률. 정규분포는 평균·분산만으로 모든 정보 파악.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기대수익률(Expected return)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r = Σ_i P_i r_i</w:t>
      </w:r>
      <w:r>
        <w:rPr>
          <w:rFonts w:ascii="맑은 고딕" w:hAnsi="맑은 고딕" w:eastAsia="맑은 고딕"/>
          <w:sz w:val="21"/>
        </w:rPr>
        <w:t xml:space="preserve"> (각 수익률 × 확률의 합)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분산(Variance)</w:t>
      </w:r>
      <w:r>
        <w:rPr>
          <w:rFonts w:ascii="맑은 고딕" w:hAnsi="맑은 고딕" w:eastAsia="맑은 고딕"/>
          <w:sz w:val="21"/>
        </w:rPr>
        <w:t>: 실현값이 기대값에서 떨어진 정도의 제곱의 평균. (단위: %²)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표준편차(σ, standard deviation)</w:t>
      </w:r>
      <w:r>
        <w:rPr>
          <w:rFonts w:ascii="맑은 고딕" w:hAnsi="맑은 고딕" w:eastAsia="맑은 고딕"/>
          <w:sz w:val="21"/>
        </w:rPr>
        <w:t xml:space="preserve">: 분산의 양의 제곱근. 개별 자산의 </w:t>
      </w:r>
      <w:r>
        <w:rPr>
          <w:rFonts w:ascii="맑은 고딕" w:hAnsi="맑은 고딕" w:eastAsia="맑은 고딕"/>
          <w:b/>
          <w:sz w:val="21"/>
        </w:rPr>
        <w:t>총위험</w:t>
      </w:r>
      <w:r>
        <w:rPr>
          <w:rFonts w:ascii="맑은 고딕" w:hAnsi="맑은 고딕" w:eastAsia="맑은 고딕"/>
          <w:sz w:val="21"/>
        </w:rPr>
        <w:t>을 나타냄.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>σ가 클수록 → 수익률 분포가 넓고, 실제 수익이 기대값에서 멀어질 확률 ↑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변동계수(CV, Coefficient of Variation)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CV = σr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수익 1단위당 위험</w:t>
      </w:r>
      <w:r>
        <w:rPr>
          <w:rFonts w:ascii="맑은 고딕" w:hAnsi="맑은 고딕" w:eastAsia="맑은 고딕"/>
          <w:sz w:val="21"/>
        </w:rPr>
        <w:t>. 기대수익률과 위험이 둘 다 다른 투자안을 비교할 때 사용. CV가 작을수록 유리.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위험회피와 위험프리미엄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위험회피성향(risk aversion)</w:t>
      </w:r>
      <w:r>
        <w:rPr>
          <w:rFonts w:ascii="맑은 고딕" w:hAnsi="맑은 고딕" w:eastAsia="맑은 고딕"/>
          <w:sz w:val="21"/>
        </w:rPr>
        <w:t>: 투자자는 위험을 싫어함 → 위험자산 보유 시 더 높은 수익률 요구.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위험프리미엄(risk premium)</w:t>
      </w:r>
      <w:r>
        <w:rPr>
          <w:rFonts w:ascii="맑은 고딕" w:hAnsi="맑은 고딕" w:eastAsia="맑은 고딕"/>
          <w:sz w:val="21"/>
        </w:rPr>
        <w:t>: 위험자산 수익률 − 무위험자산 수익률. 위험을 떠안는 것에 대한 보상.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차익거래 논리: 위험회피적 투자자가 주류인 시장에서는 </w:t>
      </w:r>
      <w:r>
        <w:rPr>
          <w:rFonts w:ascii="맑은 고딕" w:hAnsi="맑은 고딕" w:eastAsia="맑은 고딕"/>
          <w:b/>
          <w:sz w:val="21"/>
        </w:rPr>
        <w:t>더 위험한 주식이 항상 더 높은 기대수익률</w:t>
      </w:r>
      <w:r>
        <w:rPr>
          <w:rFonts w:ascii="맑은 고딕" w:hAnsi="맑은 고딕" w:eastAsia="맑은 고딕"/>
          <w:sz w:val="21"/>
        </w:rPr>
        <w:t>을 갖게 됨.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포트폴리오 위험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포트폴리오 기대수익률</w:t>
      </w:r>
      <w:r>
        <w:rPr>
          <w:rFonts w:ascii="맑은 고딕" w:hAnsi="맑은 고딕" w:eastAsia="맑은 고딕"/>
          <w:sz w:val="21"/>
        </w:rPr>
        <w:t xml:space="preserve"> = 개별 주식 기대수익률의 </w:t>
      </w:r>
      <w:r>
        <w:rPr>
          <w:rFonts w:ascii="맑은 고딕" w:hAnsi="맑은 고딕" w:eastAsia="맑은 고딕"/>
          <w:b/>
          <w:sz w:val="21"/>
        </w:rPr>
        <w:t>가중평균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맑은 고딕" w:hAnsi="맑은 고딕" w:eastAsia="맑은 고딕"/>
          <w:color w:val="1F4E79"/>
          <w:sz w:val="21"/>
        </w:rPr>
        <w:t>r_p = Σ w_i r_i</w:t>
      </w:r>
      <w:r>
        <w:rPr>
          <w:rFonts w:ascii="맑은 고딕" w:hAnsi="맑은 고딕" w:eastAsia="맑은 고딕"/>
          <w:sz w:val="21"/>
        </w:rPr>
        <w:t>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**상관계수 ρ (</w:t>
      </w:r>
      <w:r>
        <w:rPr>
          <w:rFonts w:ascii="맑은 고딕" w:hAnsi="맑은 고딕" w:eastAsia="맑은 고딕"/>
          <w:color w:val="1F4E79"/>
          <w:sz w:val="21"/>
        </w:rPr>
        <w:t>-1 ≤ ρ ≤ 1</w:t>
      </w:r>
      <w:r>
        <w:rPr>
          <w:rFonts w:ascii="맑은 고딕" w:hAnsi="맑은 고딕" w:eastAsia="맑은 고딕"/>
          <w:sz w:val="21"/>
        </w:rPr>
        <w:t>)** (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중요)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ρ = +1</w:t>
      </w:r>
      <w:r>
        <w:rPr>
          <w:rFonts w:ascii="맑은 고딕" w:hAnsi="맑은 고딕" w:eastAsia="맑은 고딕"/>
          <w:sz w:val="21"/>
        </w:rPr>
        <w:t xml:space="preserve">: 완전 양의 상관 → 위험분산효과 </w:t>
      </w:r>
      <w:r>
        <w:rPr>
          <w:rFonts w:ascii="맑은 고딕" w:hAnsi="맑은 고딕" w:eastAsia="맑은 고딕"/>
          <w:b/>
          <w:sz w:val="21"/>
        </w:rPr>
        <w:t>없음</w:t>
      </w:r>
      <w:r>
        <w:rPr>
          <w:rFonts w:ascii="맑은 고딕" w:hAnsi="맑은 고딕" w:eastAsia="맑은 고딕"/>
          <w:sz w:val="21"/>
        </w:rPr>
        <w:t xml:space="preserve"> (포트폴리오 위험 = 개별위험의 가중평균)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ρ = −1</w:t>
      </w:r>
      <w:r>
        <w:rPr>
          <w:rFonts w:ascii="맑은 고딕" w:hAnsi="맑은 고딕" w:eastAsia="맑은 고딕"/>
          <w:sz w:val="21"/>
        </w:rPr>
        <w:t xml:space="preserve">: 완전 음의 상관(countercyclical) → 비중 조정 시 </w:t>
      </w:r>
      <w:r>
        <w:rPr>
          <w:rFonts w:ascii="맑은 고딕" w:hAnsi="맑은 고딕" w:eastAsia="맑은 고딕"/>
          <w:b/>
          <w:sz w:val="21"/>
        </w:rPr>
        <w:t>변동성 0인 무위험 포트폴리오</w:t>
      </w:r>
      <w:r>
        <w:rPr>
          <w:rFonts w:ascii="맑은 고딕" w:hAnsi="맑은 고딕" w:eastAsia="맑은 고딕"/>
          <w:sz w:val="21"/>
        </w:rPr>
        <w:t xml:space="preserve"> 가능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ρ = 0</w:t>
      </w:r>
      <w:r>
        <w:rPr>
          <w:rFonts w:ascii="맑은 고딕" w:hAnsi="맑은 고딕" w:eastAsia="맑은 고딕"/>
          <w:sz w:val="21"/>
        </w:rPr>
        <w:t>: 독립적으로 움직임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>포트폴리오 위험 ≤ 개별 자산 위험의 가중평균</w:t>
      </w:r>
      <w:r>
        <w:rPr>
          <w:rFonts w:ascii="맑은 고딕" w:hAnsi="맑은 고딕" w:eastAsia="맑은 고딕"/>
          <w:sz w:val="21"/>
        </w:rPr>
        <w:t xml:space="preserve"> (등호는 ρ=1일 때만)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>실제 두 주식의 역사적 평균 상관계수 ≈ 0.3 → 위험을 낮출 수는 있어도 완전히 없앨 수는 없음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분산투자와 위험의 분해 (★★빈출)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주식 수가 늘수록 포트폴리오 위험 감소 → 약 </w:t>
      </w:r>
      <w:r>
        <w:rPr>
          <w:rFonts w:ascii="맑은 고딕" w:hAnsi="맑은 고딕" w:eastAsia="맑은 고딕"/>
          <w:b/>
          <w:sz w:val="21"/>
        </w:rPr>
        <w:t>30~40개</w:t>
      </w:r>
      <w:r>
        <w:rPr>
          <w:rFonts w:ascii="맑은 고딕" w:hAnsi="맑은 고딕" w:eastAsia="맑은 고딕"/>
          <w:sz w:val="21"/>
        </w:rPr>
        <w:t xml:space="preserve"> 이후로는 더 줄지 않음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총위험 = 분산가능위험 + 시장위험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분산가능위험(idiosyncratic/diversifiable risk)</w:t>
      </w:r>
      <w:r>
        <w:rPr>
          <w:rFonts w:ascii="맑은 고딕" w:hAnsi="맑은 고딕" w:eastAsia="맑은 고딕"/>
          <w:sz w:val="21"/>
        </w:rPr>
        <w:t xml:space="preserve">: 다른 주식 추가로 </w:t>
      </w:r>
      <w:r>
        <w:rPr>
          <w:rFonts w:ascii="맑은 고딕" w:hAnsi="맑은 고딕" w:eastAsia="맑은 고딕"/>
          <w:b/>
          <w:sz w:val="21"/>
        </w:rPr>
        <w:t>제거 가능</w:t>
      </w:r>
      <w:r>
        <w:rPr>
          <w:rFonts w:ascii="맑은 고딕" w:hAnsi="맑은 고딕" w:eastAsia="맑은 고딕"/>
          <w:sz w:val="21"/>
        </w:rPr>
        <w:t>. 개별 기업 고유 이슈.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시장위험(market/undiversifiable risk)</w:t>
      </w:r>
      <w:r>
        <w:rPr>
          <w:rFonts w:ascii="맑은 고딕" w:hAnsi="맑은 고딕" w:eastAsia="맑은 고딕"/>
          <w:sz w:val="21"/>
        </w:rPr>
        <w:t xml:space="preserve">: 분산해도 </w:t>
      </w:r>
      <w:r>
        <w:rPr>
          <w:rFonts w:ascii="맑은 고딕" w:hAnsi="맑은 고딕" w:eastAsia="맑은 고딕"/>
          <w:b/>
          <w:sz w:val="21"/>
        </w:rPr>
        <w:t>제거 불가</w:t>
      </w:r>
      <w:r>
        <w:rPr>
          <w:rFonts w:ascii="맑은 고딕" w:hAnsi="맑은 고딕" w:eastAsia="맑은 고딕"/>
          <w:sz w:val="21"/>
        </w:rPr>
        <w:t>. 전쟁·인플레·경기침체·금융위기 등 시장 전체 영향.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베타(Beta) (★★핵심)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잘 분산된 포트폴리오에 포함됐을 때, 개별 주식이 포트폴리오 </w:t>
      </w:r>
      <w:r>
        <w:rPr>
          <w:rFonts w:ascii="맑은 고딕" w:hAnsi="맑은 고딕" w:eastAsia="맑은 고딕"/>
          <w:b/>
          <w:sz w:val="21"/>
        </w:rPr>
        <w:t>전체 위험에 기여하는 정도</w:t>
      </w:r>
      <w:r>
        <w:rPr>
          <w:rFonts w:ascii="맑은 고딕" w:hAnsi="맑은 고딕" w:eastAsia="맑은 고딕"/>
          <w:sz w:val="21"/>
        </w:rPr>
        <w:t xml:space="preserve"> = 그 주식의 </w:t>
      </w:r>
      <w:r>
        <w:rPr>
          <w:rFonts w:ascii="맑은 고딕" w:hAnsi="맑은 고딕" w:eastAsia="맑은 고딕"/>
          <w:b/>
          <w:sz w:val="21"/>
        </w:rPr>
        <w:t>시장위험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개별 주식이 시장 움직임에 </w:t>
      </w:r>
      <w:r>
        <w:rPr>
          <w:rFonts w:ascii="맑은 고딕" w:hAnsi="맑은 고딕" w:eastAsia="맑은 고딕"/>
          <w:b/>
          <w:sz w:val="21"/>
        </w:rPr>
        <w:t>얼마나 민감하게</w:t>
      </w:r>
      <w:r>
        <w:rPr>
          <w:rFonts w:ascii="맑은 고딕" w:hAnsi="맑은 고딕" w:eastAsia="맑은 고딕"/>
          <w:sz w:val="21"/>
        </w:rPr>
        <w:t xml:space="preserve"> 변동하는지를 측정</w:t>
      </w:r>
    </w:p>
    <w:p>
      <w:pPr>
        <w:pStyle w:val="ListBullet"/>
      </w:pPr>
      <w:r>
        <w:rPr>
          <w:rFonts w:ascii="맑은 고딕" w:hAnsi="맑은 고딕" w:eastAsia="맑은 고딕"/>
          <w:color w:val="1F4E79"/>
          <w:sz w:val="21"/>
        </w:rPr>
        <w:t>b = 1.0</w:t>
      </w:r>
      <w:r>
        <w:rPr>
          <w:rFonts w:ascii="맑은 고딕" w:hAnsi="맑은 고딕" w:eastAsia="맑은 고딕"/>
          <w:sz w:val="21"/>
        </w:rPr>
        <w:t xml:space="preserve">: 시장과 동일하게 움직임(평균 위험) / </w:t>
      </w:r>
      <w:r>
        <w:rPr>
          <w:rFonts w:ascii="맑은 고딕" w:hAnsi="맑은 고딕" w:eastAsia="맑은 고딕"/>
          <w:color w:val="1F4E79"/>
          <w:sz w:val="21"/>
        </w:rPr>
        <w:t>b = 2.0</w:t>
      </w:r>
      <w:r>
        <w:rPr>
          <w:rFonts w:ascii="맑은 고딕" w:hAnsi="맑은 고딕" w:eastAsia="맑은 고딕"/>
          <w:sz w:val="21"/>
        </w:rPr>
        <w:t xml:space="preserve">: 시장 변동의 2배(고위험) / </w:t>
      </w:r>
      <w:r>
        <w:rPr>
          <w:rFonts w:ascii="맑은 고딕" w:hAnsi="맑은 고딕" w:eastAsia="맑은 고딕"/>
          <w:color w:val="1F4E79"/>
          <w:sz w:val="21"/>
        </w:rPr>
        <w:t>b = 0.5</w:t>
      </w:r>
      <w:r>
        <w:rPr>
          <w:rFonts w:ascii="맑은 고딕" w:hAnsi="맑은 고딕" w:eastAsia="맑은 고딕"/>
          <w:sz w:val="21"/>
        </w:rPr>
        <w:t>: 시장의 절반(저위험)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포트폴리오 베타 = 구성종목 베타의 가중평균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맑은 고딕" w:hAnsi="맑은 고딕" w:eastAsia="맑은 고딕"/>
          <w:color w:val="1F4E79"/>
          <w:sz w:val="21"/>
        </w:rPr>
        <w:t>b_p = Σ w_i b_i</w:t>
      </w:r>
      <w:r>
        <w:rPr>
          <w:rFonts w:ascii="맑은 고딕" w:hAnsi="맑은 고딕" w:eastAsia="맑은 고딕"/>
          <w:sz w:val="21"/>
        </w:rPr>
        <w:t>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CAPM &amp; SML (★★★최빈출 — 사진 예시 "CAPM 이용해서 계산하기")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시장위험프리미엄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RP_M = r_M - r_RF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개별주식 위험프리미엄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RP_i = RP_M × b_i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CAPM (요구수익률)</w:t>
      </w:r>
      <w:r>
        <w:rPr>
          <w:rFonts w:ascii="맑은 고딕" w:hAnsi="맑은 고딕" w:eastAsia="맑은 고딕"/>
          <w:sz w:val="21"/>
        </w:rPr>
        <w:t>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r_i = r_RF + (r_M - r_RF) b_i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SML(증권시장선, Security Market Line)</w:t>
      </w:r>
      <w:r>
        <w:rPr>
          <w:rFonts w:ascii="맑은 고딕" w:hAnsi="맑은 고딕" w:eastAsia="맑은 고딕"/>
          <w:sz w:val="21"/>
        </w:rPr>
        <w:t>: 베타-요구수익률 평면에 CAPM을 그린 직선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y절편</w:t>
      </w:r>
      <w:r>
        <w:rPr>
          <w:rFonts w:ascii="맑은 고딕" w:hAnsi="맑은 고딕" w:eastAsia="맑은 고딕"/>
          <w:sz w:val="21"/>
        </w:rPr>
        <w:t xml:space="preserve"> = 무위험이자율 </w:t>
      </w:r>
      <w:r>
        <w:rPr>
          <w:rFonts w:ascii="맑은 고딕" w:hAnsi="맑은 고딕" w:eastAsia="맑은 고딕"/>
          <w:color w:val="1F4E79"/>
          <w:sz w:val="21"/>
        </w:rPr>
        <w:t>r_RF</w:t>
      </w:r>
      <w:r>
        <w:rPr>
          <w:rFonts w:ascii="맑은 고딕" w:hAnsi="맑은 고딕" w:eastAsia="맑은 고딕"/>
          <w:sz w:val="21"/>
        </w:rPr>
        <w:t xml:space="preserve"> (베타=0 자산의 수익률)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기울기</w:t>
      </w:r>
      <w:r>
        <w:rPr>
          <w:rFonts w:ascii="맑은 고딕" w:hAnsi="맑은 고딕" w:eastAsia="맑은 고딕"/>
          <w:sz w:val="21"/>
        </w:rPr>
        <w:t xml:space="preserve"> = 시장위험프리미엄 </w:t>
      </w:r>
      <w:r>
        <w:rPr>
          <w:rFonts w:ascii="맑은 고딕" w:hAnsi="맑은 고딕" w:eastAsia="맑은 고딕"/>
          <w:color w:val="1F4E79"/>
          <w:sz w:val="21"/>
        </w:rPr>
        <w:t>(r_M - r_RF)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SML을 이동/회전시키는 요인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기대 인플레이션 ↑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1F4E79"/>
          <w:sz w:val="21"/>
        </w:rPr>
        <w:t>r_RF</w:t>
      </w:r>
      <w:r>
        <w:rPr>
          <w:rFonts w:ascii="맑은 고딕" w:hAnsi="맑은 고딕" w:eastAsia="맑은 고딕"/>
          <w:sz w:val="21"/>
        </w:rPr>
        <w:t xml:space="preserve"> ↑ → SML </w:t>
      </w:r>
      <w:r>
        <w:rPr>
          <w:rFonts w:ascii="맑은 고딕" w:hAnsi="맑은 고딕" w:eastAsia="맑은 고딕"/>
          <w:b/>
          <w:sz w:val="21"/>
        </w:rPr>
        <w:t>전체가 위로 평행이동</w:t>
      </w:r>
      <w:r>
        <w:rPr>
          <w:rFonts w:ascii="맑은 고딕" w:hAnsi="맑은 고딕" w:eastAsia="맑은 고딕"/>
          <w:sz w:val="21"/>
        </w:rPr>
        <w:t>(모든 자산 요구수익률 ↑, 주가 ↓)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위험회피성향 ↑</w:t>
      </w:r>
      <w:r>
        <w:rPr>
          <w:rFonts w:ascii="맑은 고딕" w:hAnsi="맑은 고딕" w:eastAsia="맑은 고딕"/>
          <w:sz w:val="21"/>
        </w:rPr>
        <w:t xml:space="preserve"> → 기울기가 </w:t>
      </w:r>
      <w:r>
        <w:rPr>
          <w:rFonts w:ascii="맑은 고딕" w:hAnsi="맑은 고딕" w:eastAsia="맑은 고딕"/>
          <w:b/>
          <w:sz w:val="21"/>
        </w:rPr>
        <w:t>가팔라짐(steeper)</w:t>
      </w:r>
      <w:r>
        <w:rPr>
          <w:rFonts w:ascii="맑은 고딕" w:hAnsi="맑은 고딕" w:eastAsia="맑은 고딕"/>
          <w:sz w:val="21"/>
        </w:rPr>
        <w:t xml:space="preserve"> (위험에 더 큰 보상 요구)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>기업이 자산구성/사업구조를 바꾸면 자사의 베타가 변함 → 요구수익률·주가에 영향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Chapter 9. 채권의 가치평가 (Bonds and Their Valuation)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채권 기본 용어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채권</w:t>
      </w:r>
      <w:r>
        <w:rPr>
          <w:rFonts w:ascii="맑은 고딕" w:hAnsi="맑은 고딕" w:eastAsia="맑은 고딕"/>
          <w:sz w:val="21"/>
        </w:rPr>
        <w:t xml:space="preserve">: 발행자가 정해진 날짜에 원금과 이자를 지급하기로 약속한 증서. 시장은 주로 </w:t>
      </w:r>
      <w:r>
        <w:rPr>
          <w:rFonts w:ascii="맑은 고딕" w:hAnsi="맑은 고딕" w:eastAsia="맑은 고딕"/>
          <w:b/>
          <w:sz w:val="21"/>
        </w:rPr>
        <w:t>장외거래(OTC)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만기일(maturity date)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맑은 고딕" w:hAnsi="맑은 고딕" w:eastAsia="맑은 고딕"/>
          <w:b/>
          <w:sz w:val="21"/>
        </w:rPr>
        <w:t>액면가(par, face value, 보통 $1,000)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맑은 고딕" w:hAnsi="맑은 고딕" w:eastAsia="맑은 고딕"/>
          <w:b/>
          <w:sz w:val="21"/>
        </w:rPr>
        <w:t>표면(쿠폰)이자율(coupon rate)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>매기 이자액 = 액면가 × 쿠폰이자율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만기수익률(YTM)</w:t>
      </w:r>
      <w:r>
        <w:rPr>
          <w:rFonts w:ascii="맑은 고딕" w:hAnsi="맑은 고딕" w:eastAsia="맑은 고딕"/>
          <w:sz w:val="21"/>
        </w:rPr>
        <w:t xml:space="preserve">: 채권을 </w:t>
      </w:r>
      <w:r>
        <w:rPr>
          <w:rFonts w:ascii="맑은 고딕" w:hAnsi="맑은 고딕" w:eastAsia="맑은 고딕"/>
          <w:b/>
          <w:sz w:val="21"/>
        </w:rPr>
        <w:t>만기까지 보유</w:t>
      </w:r>
      <w:r>
        <w:rPr>
          <w:rFonts w:ascii="맑은 고딕" w:hAnsi="맑은 고딕" w:eastAsia="맑은 고딕"/>
          <w:sz w:val="21"/>
        </w:rPr>
        <w:t>할 때의 연평균 수익률. "promised yield"라고도 함.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종류: </w:t>
      </w:r>
      <w:r>
        <w:rPr>
          <w:rFonts w:ascii="맑은 고딕" w:hAnsi="맑은 고딕" w:eastAsia="맑은 고딕"/>
          <w:b/>
          <w:sz w:val="21"/>
        </w:rPr>
        <w:t>국공채(Treasury 등)</w:t>
      </w:r>
      <w:r>
        <w:rPr>
          <w:rFonts w:ascii="맑은 고딕" w:hAnsi="맑은 고딕" w:eastAsia="맑은 고딕"/>
          <w:sz w:val="21"/>
        </w:rPr>
        <w:t xml:space="preserve"> — 부도위험 없음(이자율위험은 있음) / </w:t>
      </w:r>
      <w:r>
        <w:rPr>
          <w:rFonts w:ascii="맑은 고딕" w:hAnsi="맑은 고딕" w:eastAsia="맑은 고딕"/>
          <w:b/>
          <w:sz w:val="21"/>
        </w:rPr>
        <w:t>회사채</w:t>
      </w:r>
      <w:r>
        <w:rPr>
          <w:rFonts w:ascii="맑은 고딕" w:hAnsi="맑은 고딕" w:eastAsia="맑은 고딕"/>
          <w:sz w:val="21"/>
        </w:rPr>
        <w:t xml:space="preserve"> — 부도위험 있음(위험↑면 이자율↑)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채권 가치평가 공식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V_B = Σ_t=1^NINT(1+r_d)^t + M(1+r_d)^N</w:t>
      </w:r>
    </w:p>
    <w:p>
      <w:r>
        <w:rPr>
          <w:rFonts w:ascii="맑은 고딕" w:hAnsi="맑은 고딕" w:eastAsia="맑은 고딕"/>
          <w:sz w:val="21"/>
        </w:rPr>
        <w:t xml:space="preserve">(INT=쿠폰이자, M=액면가, </w:t>
      </w:r>
      <w:r>
        <w:rPr>
          <w:rFonts w:ascii="맑은 고딕" w:hAnsi="맑은 고딕" w:eastAsia="맑은 고딕"/>
          <w:color w:val="1F4E79"/>
          <w:sz w:val="21"/>
        </w:rPr>
        <w:t>r_d</w:t>
      </w:r>
      <w:r>
        <w:rPr>
          <w:rFonts w:ascii="맑은 고딕" w:hAnsi="맑은 고딕" w:eastAsia="맑은 고딕"/>
          <w:sz w:val="21"/>
        </w:rPr>
        <w:t>=시장이자율)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시장이자율(rd)과 채권가격 관계 (★★빈출 T/F)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채권 명칭</w:t>
            </w:r>
          </w:p>
        </w:tc>
        <w:tc>
          <w:tcPr>
            <w:tcW w:type="dxa" w:w="288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color w:val="1F4E79"/>
                <w:sz w:val="20"/>
              </w:rPr>
              <w:t>r_d</w:t>
            </w:r>
            <w:r>
              <w:rPr>
                <w:rFonts w:ascii="맑은 고딕" w:hAnsi="맑은 고딕" w:eastAsia="맑은 고딕"/>
                <w:sz w:val="20"/>
              </w:rPr>
              <w:t xml:space="preserve"> = 쿠폰이자율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액면채(par)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= 액면가</w:t>
            </w:r>
          </w:p>
        </w:tc>
      </w:tr>
      <w:tr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color w:val="1F4E79"/>
                <w:sz w:val="20"/>
              </w:rPr>
              <w:t>r_d</w:t>
            </w:r>
            <w:r>
              <w:rPr>
                <w:rFonts w:ascii="맑은 고딕" w:hAnsi="맑은 고딕" w:eastAsia="맑은 고딕"/>
                <w:sz w:val="20"/>
              </w:rPr>
              <w:t xml:space="preserve"> &lt; 쿠폰이자율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할증채(premium)</w:t>
            </w:r>
          </w:p>
        </w:tc>
        <w:tc>
          <w:tcPr>
            <w:tcW w:type="dxa" w:w="288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&gt; 액면가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color w:val="1F4E79"/>
                <w:sz w:val="20"/>
              </w:rPr>
              <w:t>r_d</w:t>
            </w:r>
            <w:r>
              <w:rPr>
                <w:rFonts w:ascii="맑은 고딕" w:hAnsi="맑은 고딕" w:eastAsia="맑은 고딕"/>
                <w:sz w:val="20"/>
              </w:rPr>
              <w:t xml:space="preserve"> &gt; 쿠폰이자율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할인채(discount)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&lt; 액면가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b/>
          <w:sz w:val="21"/>
        </w:rPr>
        <w:t>시장이자율과 채권가격은 반대 방향(역의 관계).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채권수익률 분해 (★★중요)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YTM = 경상수익률(Current Yield) + 자본이득수익률(Capital Gain Yield)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경상수익률(CY)</w:t>
      </w:r>
      <w:r>
        <w:rPr>
          <w:rFonts w:ascii="맑은 고딕" w:hAnsi="맑은 고딕" w:eastAsia="맑은 고딕"/>
          <w:sz w:val="21"/>
        </w:rPr>
        <w:t xml:space="preserve"> = 연간 쿠폰지급액 ÷ 연초 채권가격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자본이득수익률(CGY)</w:t>
      </w:r>
      <w:r>
        <w:rPr>
          <w:rFonts w:ascii="맑은 고딕" w:hAnsi="맑은 고딕" w:eastAsia="맑은 고딕"/>
          <w:sz w:val="21"/>
        </w:rPr>
        <w:t xml:space="preserve"> = 연간 채권가격 변동액 ÷ 연초 채권가격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시장이자율 불변 시, </w:t>
      </w:r>
      <w:r>
        <w:rPr>
          <w:rFonts w:ascii="맑은 고딕" w:hAnsi="맑은 고딕" w:eastAsia="맑은 고딕"/>
          <w:b/>
          <w:sz w:val="21"/>
        </w:rPr>
        <w:t>만기에 가까워질수록 모든 채권 가격 → 액면가로 수렴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할증채</w:t>
      </w:r>
      <w:r>
        <w:rPr>
          <w:rFonts w:ascii="맑은 고딕" w:hAnsi="맑은 고딕" w:eastAsia="맑은 고딕"/>
          <w:sz w:val="21"/>
        </w:rPr>
        <w:t xml:space="preserve">: 시간이 지나며 가격 점차 </w:t>
      </w:r>
      <w:r>
        <w:rPr>
          <w:rFonts w:ascii="맑은 고딕" w:hAnsi="맑은 고딕" w:eastAsia="맑은 고딕"/>
          <w:b/>
          <w:sz w:val="21"/>
        </w:rPr>
        <w:t>하락</w:t>
      </w:r>
      <w:r>
        <w:rPr>
          <w:rFonts w:ascii="맑은 고딕" w:hAnsi="맑은 고딕" w:eastAsia="맑은 고딕"/>
          <w:sz w:val="21"/>
        </w:rPr>
        <w:t xml:space="preserve"> (CY 높지만 </w:t>
      </w:r>
      <w:r>
        <w:rPr>
          <w:rFonts w:ascii="맑은 고딕" w:hAnsi="맑은 고딕" w:eastAsia="맑은 고딕"/>
          <w:b/>
          <w:sz w:val="21"/>
        </w:rPr>
        <w:t>CGY 음수</w:t>
      </w:r>
      <w:r>
        <w:rPr>
          <w:rFonts w:ascii="맑은 고딕" w:hAnsi="맑은 고딕" w:eastAsia="맑은 고딕"/>
          <w:sz w:val="21"/>
        </w:rPr>
        <w:t>)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할인채</w:t>
      </w:r>
      <w:r>
        <w:rPr>
          <w:rFonts w:ascii="맑은 고딕" w:hAnsi="맑은 고딕" w:eastAsia="맑은 고딕"/>
          <w:sz w:val="21"/>
        </w:rPr>
        <w:t xml:space="preserve">: 시간이 지나며 가격 점차 </w:t>
      </w:r>
      <w:r>
        <w:rPr>
          <w:rFonts w:ascii="맑은 고딕" w:hAnsi="맑은 고딕" w:eastAsia="맑은 고딕"/>
          <w:b/>
          <w:sz w:val="21"/>
        </w:rPr>
        <w:t>상승</w:t>
      </w:r>
      <w:r>
        <w:rPr>
          <w:rFonts w:ascii="맑은 고딕" w:hAnsi="맑은 고딕" w:eastAsia="맑은 고딕"/>
          <w:sz w:val="21"/>
        </w:rPr>
        <w:t xml:space="preserve"> (CY 낮지만 </w:t>
      </w:r>
      <w:r>
        <w:rPr>
          <w:rFonts w:ascii="맑은 고딕" w:hAnsi="맑은 고딕" w:eastAsia="맑은 고딕"/>
          <w:b/>
          <w:sz w:val="21"/>
        </w:rPr>
        <w:t>CGY 양수</w:t>
      </w:r>
      <w:r>
        <w:rPr>
          <w:rFonts w:ascii="맑은 고딕" w:hAnsi="맑은 고딕" w:eastAsia="맑은 고딕"/>
          <w:sz w:val="21"/>
        </w:rPr>
        <w:t>)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>CY·CGY가 상쇄되어 두 채권 모두 총수익률(YTM)은 매입 당시 시장이자율과 같음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채권의 위험 (★★빈출)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</w:t>
            </w:r>
          </w:p>
        </w:tc>
        <w:tc>
          <w:tcPr>
            <w:tcW w:type="dxa" w:w="216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  <w:tc>
          <w:tcPr>
            <w:tcW w:type="dxa" w:w="216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단기채</w:t>
            </w:r>
          </w:p>
        </w:tc>
        <w:tc>
          <w:tcPr>
            <w:tcW w:type="dxa" w:w="2160"/>
            <w:shd w:val="clear" w:fill="2E5984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장기채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이자율위험(가격위험)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시장이자율 상승 시 채권가격 하락 위험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높음</w:t>
            </w:r>
          </w:p>
        </w:tc>
      </w:tr>
      <w:tr>
        <w:tc>
          <w:tcPr>
            <w:tcW w:type="dxa" w:w="216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재투자위험(reinvestment risk)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시장이자율 하락 시 현금흐름을 더 낮은 이율로 재투자할 위험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높음</w:t>
            </w:r>
          </w:p>
        </w:tc>
        <w:tc>
          <w:tcPr>
            <w:tcW w:type="dxa" w:w="2160"/>
            <w:shd w:val="clear" w:fill="EEF3F8"/>
          </w:tcPr>
          <w:p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위험은 </w:t>
      </w:r>
      <w:r>
        <w:rPr>
          <w:rFonts w:ascii="맑은 고딕" w:hAnsi="맑은 고딕" w:eastAsia="맑은 고딕"/>
          <w:b/>
          <w:sz w:val="21"/>
        </w:rPr>
        <w:t>trade-off</w:t>
      </w:r>
      <w:r>
        <w:rPr>
          <w:rFonts w:ascii="맑은 고딕" w:hAnsi="맑은 고딕" w:eastAsia="맑은 고딕"/>
          <w:sz w:val="21"/>
        </w:rPr>
        <w:t xml:space="preserve"> 관계 → </w:t>
      </w:r>
      <w:r>
        <w:rPr>
          <w:rFonts w:ascii="맑은 고딕" w:hAnsi="맑은 고딕" w:eastAsia="맑은 고딕"/>
          <w:b/>
          <w:sz w:val="21"/>
        </w:rPr>
        <w:t>리스크가 없는 채권은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만기가 길수록 동일 이자율 변동에 가격이 더 민감 → </w:t>
      </w:r>
      <w:r>
        <w:rPr>
          <w:rFonts w:ascii="맑은 고딕" w:hAnsi="맑은 고딕" w:eastAsia="맑은 고딕"/>
          <w:b/>
          <w:sz w:val="21"/>
        </w:rPr>
        <w:t>이자율위험 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위험을 </w:t>
      </w:r>
      <w:r>
        <w:rPr>
          <w:rFonts w:ascii="맑은 고딕" w:hAnsi="맑은 고딕" w:eastAsia="맑은 고딕"/>
          <w:b/>
          <w:sz w:val="21"/>
        </w:rPr>
        <w:t>모두</w:t>
      </w:r>
      <w:r>
        <w:rPr>
          <w:rFonts w:ascii="맑은 고딕" w:hAnsi="맑은 고딕" w:eastAsia="맑은 고딕"/>
          <w:sz w:val="21"/>
        </w:rPr>
        <w:t xml:space="preserve"> 없애려면: 투자기간과 만기가 일치하는 </w:t>
      </w:r>
      <w:r>
        <w:rPr>
          <w:rFonts w:ascii="맑은 고딕" w:hAnsi="맑은 고딕" w:eastAsia="맑은 고딕"/>
          <w:b/>
          <w:sz w:val="21"/>
        </w:rPr>
        <w:t>무이표채(zero coupon bond)</w:t>
      </w:r>
      <w:r>
        <w:rPr>
          <w:rFonts w:ascii="맑은 고딕" w:hAnsi="맑은 고딕" w:eastAsia="맑은 고딕"/>
          <w:sz w:val="21"/>
        </w:rPr>
        <w:t xml:space="preserve"> 에 투자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일반적으로 </w:t>
      </w:r>
      <w:r>
        <w:rPr>
          <w:rFonts w:ascii="맑은 고딕" w:hAnsi="맑은 고딕" w:eastAsia="맑은 고딕"/>
          <w:b/>
          <w:sz w:val="21"/>
        </w:rPr>
        <w:t>양(+)의 MRP</w:t>
      </w:r>
      <w:r>
        <w:rPr>
          <w:rFonts w:ascii="맑은 고딕" w:hAnsi="맑은 고딕" w:eastAsia="맑은 고딕"/>
          <w:sz w:val="21"/>
        </w:rPr>
        <w:t xml:space="preserve"> 존재 → 투자자가 재투자위험보다 </w:t>
      </w:r>
      <w:r>
        <w:rPr>
          <w:rFonts w:ascii="맑은 고딕" w:hAnsi="맑은 고딕" w:eastAsia="맑은 고딕"/>
          <w:b/>
          <w:sz w:val="21"/>
        </w:rPr>
        <w:t>이자율위험을 더 걱정</w:t>
      </w:r>
      <w:r>
        <w:rPr>
          <w:rFonts w:ascii="맑은 고딕" w:hAnsi="맑은 고딕" w:eastAsia="맑은 고딕"/>
          <w:sz w:val="21"/>
        </w:rPr>
        <w:t>한다는 의미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채무불이행위험 (Default risk)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발행자가 약속한 수익을 못 줄 위험. </w:t>
      </w:r>
      <w:r>
        <w:rPr>
          <w:rFonts w:ascii="맑은 고딕" w:hAnsi="맑은 고딕" w:eastAsia="맑은 고딕"/>
          <w:b/>
          <w:sz w:val="21"/>
        </w:rPr>
        <w:t>부도위험 ↑ → 가격 ↓ → YTM 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채권수익률 구성: </w:t>
      </w:r>
      <w:r>
        <w:rPr>
          <w:rFonts w:ascii="맑은 고딕" w:hAnsi="맑은 고딕" w:eastAsia="맑은 고딕"/>
          <w:color w:val="1F4E79"/>
          <w:sz w:val="21"/>
        </w:rPr>
        <w:t>r_d = r^* + IP + DRP + LP + MRP</w:t>
      </w:r>
    </w:p>
    <w:p>
      <w:r>
        <w:rPr>
          <w:rFonts w:ascii="맑은 고딕" w:hAnsi="맑은 고딕" w:eastAsia="맑은 고딕"/>
          <w:sz w:val="21"/>
        </w:rPr>
        <w:t>(실질무위험이자율 + 인플레이션프리미엄 + 채무불이행프리미엄 + 유동성프리미엄 + 만기프리미엄)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신용등급</w:t>
      </w:r>
      <w:r>
        <w:rPr>
          <w:rFonts w:ascii="맑은 고딕" w:hAnsi="맑은 고딕" w:eastAsia="맑은 고딕"/>
          <w:sz w:val="21"/>
        </w:rPr>
        <w:t xml:space="preserve">: 발행사 부도확률 반영. 투자등급 vs </w:t>
      </w:r>
      <w:r>
        <w:rPr>
          <w:rFonts w:ascii="맑은 고딕" w:hAnsi="맑은 고딕" w:eastAsia="맑은 고딕"/>
          <w:b/>
          <w:sz w:val="21"/>
        </w:rPr>
        <w:t>투기등급(junk bond)</w:t>
      </w:r>
      <w:r>
        <w:rPr>
          <w:rFonts w:ascii="맑은 고딕" w:hAnsi="맑은 고딕" w:eastAsia="맑은 고딕"/>
          <w:sz w:val="21"/>
        </w:rPr>
        <w:t>. 재무성과(부채비율·이자보상배율)와 질적 요소(담보·선순위 여부·만기 등) 반영.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Chapter 10. 주식의 가치평가 (Stocks and Their Valuation)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시장가격 vs 이론가격(본질가치)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시장가격</w:t>
      </w:r>
      <w:r>
        <w:rPr>
          <w:rFonts w:ascii="맑은 고딕" w:hAnsi="맑은 고딕" w:eastAsia="맑은 고딕"/>
          <w:sz w:val="21"/>
        </w:rPr>
        <w:t>: 시장의 일시적 수급으로 형성된 가격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이론가격(intrinsic value)</w:t>
      </w:r>
      <w:r>
        <w:rPr>
          <w:rFonts w:ascii="맑은 고딕" w:hAnsi="맑은 고딕" w:eastAsia="맑은 고딕"/>
          <w:sz w:val="21"/>
        </w:rPr>
        <w:t>: 주식의 진정한 가치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 xml:space="preserve">시장가 &gt; 본질가치 → </w:t>
      </w:r>
      <w:r>
        <w:rPr>
          <w:rFonts w:ascii="맑은 고딕" w:hAnsi="맑은 고딕" w:eastAsia="맑은 고딕"/>
          <w:b/>
          <w:sz w:val="21"/>
        </w:rPr>
        <w:t>고평가(overvalued)</w:t>
      </w:r>
      <w:r>
        <w:rPr>
          <w:rFonts w:ascii="맑은 고딕" w:hAnsi="맑은 고딕" w:eastAsia="맑은 고딕"/>
          <w:sz w:val="21"/>
        </w:rPr>
        <w:t xml:space="preserve"> → 매도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 xml:space="preserve">시장가 &lt; 본질가치 → </w:t>
      </w:r>
      <w:r>
        <w:rPr>
          <w:rFonts w:ascii="맑은 고딕" w:hAnsi="맑은 고딕" w:eastAsia="맑은 고딕"/>
          <w:b/>
          <w:sz w:val="21"/>
        </w:rPr>
        <w:t>저평가(undervalued)</w:t>
      </w:r>
      <w:r>
        <w:rPr>
          <w:rFonts w:ascii="맑은 고딕" w:hAnsi="맑은 고딕" w:eastAsia="맑은 고딕"/>
          <w:sz w:val="21"/>
        </w:rPr>
        <w:t xml:space="preserve"> → 매수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균형(equilibrium)</w:t>
      </w:r>
      <w:r>
        <w:rPr>
          <w:rFonts w:ascii="맑은 고딕" w:hAnsi="맑은 고딕" w:eastAsia="맑은 고딕"/>
          <w:sz w:val="21"/>
        </w:rPr>
        <w:t xml:space="preserve"> 에서는 시장가격 = 이론가격으로 수렴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평가 방법 두 가지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배당할인모형 (DDM, Discounted Dividend Model)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기업가치평가모형 (Corporate Valuation Model, FCF 할인모형)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1) 배당할인모형 (DDM)</w:t>
      </w:r>
    </w:p>
    <w:p>
      <w:r>
        <w:rPr>
          <w:rFonts w:ascii="맑은 고딕" w:hAnsi="맑은 고딕" w:eastAsia="맑은 고딕"/>
          <w:sz w:val="21"/>
        </w:rPr>
        <w:t>주식의 가치 = 미래 배당의 현재가치 합: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P_0 = Σ_t=1^∞D_t(1+r_s)^t</w:t>
      </w:r>
    </w:p>
    <w:p>
      <w:r>
        <w:rPr>
          <w:rFonts w:ascii="맑은 고딕" w:hAnsi="맑은 고딕" w:eastAsia="맑은 고딕"/>
          <w:b/>
          <w:sz w:val="21"/>
        </w:rPr>
        <w:t>(a) 무성장 (g=0)</w:t>
      </w:r>
      <w:r>
        <w:rPr>
          <w:rFonts w:ascii="맑은 고딕" w:hAnsi="맑은 고딕" w:eastAsia="맑은 고딕"/>
          <w:sz w:val="21"/>
        </w:rPr>
        <w:t xml:space="preserve"> → 영구연금과 동일: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P_0 = Dr_s</w:t>
      </w:r>
    </w:p>
    <w:p>
      <w:r>
        <w:rPr>
          <w:rFonts w:ascii="맑은 고딕" w:hAnsi="맑은 고딕" w:eastAsia="맑은 고딕"/>
          <w:b/>
          <w:sz w:val="21"/>
        </w:rPr>
        <w:t>(b) 일정성장 (Gordon 배당성장모형)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맑은 고딕" w:hAnsi="맑은 고딕" w:eastAsia="맑은 고딕"/>
          <w:b/>
          <w:color w:val="D35B00"/>
          <w:sz w:val="21"/>
        </w:rPr>
        <w:t>★★★</w:t>
      </w:r>
      <w:r>
        <w:rPr>
          <w:rFonts w:ascii="맑은 고딕" w:hAnsi="맑은 고딕" w:eastAsia="맑은 고딕"/>
          <w:sz w:val="21"/>
        </w:rPr>
        <w:t>최빈출 — 사진 예시 "Po 구하기"):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P_0 = D_0(1+g)r_s - g = D_1r_s - g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전제조건</w:t>
      </w:r>
      <w:r>
        <w:rPr>
          <w:rFonts w:ascii="맑은 고딕" w:hAnsi="맑은 고딕" w:eastAsia="맑은 고딕"/>
          <w:sz w:val="21"/>
        </w:rPr>
        <w:t xml:space="preserve">: ① </w:t>
      </w:r>
      <w:r>
        <w:rPr>
          <w:rFonts w:ascii="맑은 고딕" w:hAnsi="맑은 고딕" w:eastAsia="맑은 고딕"/>
          <w:color w:val="1F4E79"/>
          <w:sz w:val="21"/>
        </w:rPr>
        <w:t>r_s &gt; g</w:t>
      </w:r>
      <w:r>
        <w:rPr>
          <w:rFonts w:ascii="맑은 고딕" w:hAnsi="맑은 고딕" w:eastAsia="맑은 고딕"/>
          <w:sz w:val="21"/>
        </w:rPr>
        <w:t xml:space="preserve"> ② 성장률 g가 미래에 </w:t>
      </w:r>
      <w:r>
        <w:rPr>
          <w:rFonts w:ascii="맑은 고딕" w:hAnsi="맑은 고딕" w:eastAsia="맑은 고딕"/>
          <w:b/>
          <w:sz w:val="21"/>
        </w:rPr>
        <w:t>일정하게 유지</w:t>
      </w:r>
      <w:r>
        <w:rPr>
          <w:rFonts w:ascii="맑은 고딕" w:hAnsi="맑은 고딕" w:eastAsia="맑은 고딕"/>
          <w:sz w:val="21"/>
        </w:rPr>
        <w:t xml:space="preserve"> (→ 스타트업엔 부적합)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미래 주가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P_1 = D_2r_s-g = P_0 (1+g)</w:t>
      </w:r>
      <w:r>
        <w:rPr>
          <w:rFonts w:ascii="맑은 고딕" w:hAnsi="맑은 고딕" w:eastAsia="맑은 고딕"/>
          <w:sz w:val="21"/>
        </w:rPr>
        <w:t xml:space="preserve"> (주가도 g로 성장)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성장률이 음수(g&lt;0)여도 현금흐름을 창출하므로 양(+)의 가치를 가짐</w:t>
      </w:r>
    </w:p>
    <w:p>
      <w:r>
        <w:rPr>
          <w:rFonts w:ascii="맑은 고딕" w:hAnsi="맑은 고딕" w:eastAsia="맑은 고딕"/>
          <w:b/>
          <w:sz w:val="21"/>
        </w:rPr>
        <w:t>(c) 배당성장률(g) 산출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단답 빈출):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g = (1 - 배당성향) × ROE = b × ROE</w:t>
      </w:r>
    </w:p>
    <w:p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color w:val="1F4E79"/>
          <w:sz w:val="21"/>
        </w:rPr>
        <w:t>b</w:t>
      </w:r>
      <w:r>
        <w:rPr>
          <w:rFonts w:ascii="맑은 고딕" w:hAnsi="맑은 고딕" w:eastAsia="맑은 고딕"/>
          <w:sz w:val="21"/>
        </w:rPr>
        <w:t xml:space="preserve"> = 유보율, retention ratio)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고배당 vs 이익유보(성장)는 동시에 못 함 → 성장기회 적은 기업은 고배당 선호, 많은 기업은 유보 선호</w:t>
      </w:r>
    </w:p>
    <w:p>
      <w:r>
        <w:rPr>
          <w:rFonts w:ascii="맑은 고딕" w:hAnsi="맑은 고딕" w:eastAsia="맑은 고딕"/>
          <w:b/>
          <w:sz w:val="21"/>
        </w:rPr>
        <w:t>(d) 비일정성장 (Non-constant growth)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계산 빈출):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고성장 구간 + 이후 일정성장 구간으로 나눔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풀이: ① 일정성장 시작 시점에서 고정성장모형으로 **터미널 가치 </w:t>
      </w:r>
      <w:r>
        <w:rPr>
          <w:rFonts w:ascii="맑은 고딕" w:hAnsi="맑은 고딕" w:eastAsia="맑은 고딕"/>
          <w:color w:val="1F4E79"/>
          <w:sz w:val="21"/>
        </w:rPr>
        <w:t>P_N</w:t>
      </w:r>
      <w:r>
        <w:rPr>
          <w:rFonts w:ascii="맑은 고딕" w:hAnsi="맑은 고딕" w:eastAsia="맑은 고딕"/>
          <w:sz w:val="21"/>
        </w:rPr>
        <w:t xml:space="preserve">** 계산 → ② 그 이전 배당들 </w:t>
      </w:r>
      <w:r>
        <w:rPr>
          <w:rFonts w:ascii="맑은 고딕" w:hAnsi="맑은 고딕" w:eastAsia="맑은 고딕"/>
          <w:color w:val="1F4E79"/>
          <w:sz w:val="21"/>
        </w:rPr>
        <w:t>D_1...D_N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맑은 고딕" w:hAnsi="맑은 고딕" w:eastAsia="맑은 고딕"/>
          <w:color w:val="1F4E79"/>
          <w:sz w:val="21"/>
        </w:rPr>
        <w:t>P_N</w:t>
      </w:r>
      <w:r>
        <w:rPr>
          <w:rFonts w:ascii="맑은 고딕" w:hAnsi="맑은 고딕" w:eastAsia="맑은 고딕"/>
          <w:sz w:val="21"/>
        </w:rPr>
        <w:t xml:space="preserve"> 을 모두 현재가치로 할인해 합산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2) 기업가치평가모형 (Corporate Valuation Model / FCF 모형)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DDM 한계</w:t>
      </w:r>
      <w:r>
        <w:rPr>
          <w:rFonts w:ascii="맑은 고딕" w:hAnsi="맑은 고딕" w:eastAsia="맑은 고딕"/>
          <w:sz w:val="21"/>
        </w:rPr>
        <w:t>: 배당은 회계조정 가능한 순이익에 연동돼 noise가 많음. 배당 안 하는 기업엔 적용 어려움.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대안: 미래 </w:t>
      </w:r>
      <w:r>
        <w:rPr>
          <w:rFonts w:ascii="맑은 고딕" w:hAnsi="맑은 고딕" w:eastAsia="맑은 고딕"/>
          <w:b/>
          <w:sz w:val="21"/>
        </w:rPr>
        <w:t>잉여현금흐름(FCF)</w:t>
      </w:r>
      <w:r>
        <w:rPr>
          <w:rFonts w:ascii="맑은 고딕" w:hAnsi="맑은 고딕" w:eastAsia="맑은 고딕"/>
          <w:sz w:val="21"/>
        </w:rPr>
        <w:t xml:space="preserve"> 으로 기업 전체 가치를 도출</w:t>
      </w:r>
    </w:p>
    <w:p>
      <w:pPr>
        <w:pStyle w:val="ListBullet"/>
        <w:ind w:left="1080"/>
      </w:pPr>
      <w:r>
        <w:rPr>
          <w:rFonts w:ascii="맑은 고딕" w:hAnsi="맑은 고딕" w:eastAsia="맑은 고딕"/>
          <w:color w:val="1F4E79"/>
          <w:sz w:val="21"/>
        </w:rPr>
        <w:t>FCF = EBIT(1-T) + 감가상각 - 자본적지출(CAPEX) - Δ NOWC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풀이 절차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중요)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미래 FCF를 </w:t>
      </w:r>
      <w:r>
        <w:rPr>
          <w:rFonts w:ascii="맑은 고딕" w:hAnsi="맑은 고딕" w:eastAsia="맑은 고딕"/>
          <w:b/>
          <w:sz w:val="21"/>
        </w:rPr>
        <w:t>WACC</w:t>
      </w:r>
      <w:r>
        <w:rPr>
          <w:rFonts w:ascii="맑은 고딕" w:hAnsi="맑은 고딕" w:eastAsia="맑은 고딕"/>
          <w:sz w:val="21"/>
        </w:rPr>
        <w:t xml:space="preserve">로 할인 → </w:t>
      </w:r>
      <w:r>
        <w:rPr>
          <w:rFonts w:ascii="맑은 고딕" w:hAnsi="맑은 고딕" w:eastAsia="맑은 고딕"/>
          <w:b/>
          <w:sz w:val="21"/>
        </w:rPr>
        <w:t>기업 전체의 시장가치</w:t>
      </w:r>
      <w:r>
        <w:rPr>
          <w:rFonts w:ascii="맑은 고딕" w:hAnsi="맑은 고딕" w:eastAsia="맑은 고딕"/>
          <w:sz w:val="21"/>
        </w:rPr>
        <w:t xml:space="preserve"> (※ </w:t>
      </w:r>
      <w:r>
        <w:rPr>
          <w:rFonts w:ascii="맑은 고딕" w:hAnsi="맑은 고딕" w:eastAsia="맑은 고딕"/>
          <w:color w:val="1F4E79"/>
          <w:sz w:val="21"/>
        </w:rPr>
        <w:t>r_s</w:t>
      </w:r>
      <w:r>
        <w:rPr>
          <w:rFonts w:ascii="맑은 고딕" w:hAnsi="맑은 고딕" w:eastAsia="맑은 고딕"/>
          <w:sz w:val="21"/>
        </w:rPr>
        <w:t>가 아니라 WACC! FCF는 채권자·우선주주 보상 차감 전 값이므로)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기업 전체 가치 − </w:t>
      </w:r>
      <w:r>
        <w:rPr>
          <w:rFonts w:ascii="맑은 고딕" w:hAnsi="맑은 고딕" w:eastAsia="맑은 고딕"/>
          <w:b/>
          <w:sz w:val="21"/>
        </w:rPr>
        <w:t>부채·우선주 가치</w:t>
      </w:r>
      <w:r>
        <w:rPr>
          <w:rFonts w:ascii="맑은 고딕" w:hAnsi="맑은 고딕" w:eastAsia="맑은 고딕"/>
          <w:sz w:val="21"/>
        </w:rPr>
        <w:t xml:space="preserve"> = 보통주 시장가치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보통주 시장가치 ÷ 발행주식수 = </w:t>
      </w:r>
      <w:r>
        <w:rPr>
          <w:rFonts w:ascii="맑은 고딕" w:hAnsi="맑은 고딕" w:eastAsia="맑은 고딕"/>
          <w:b/>
          <w:sz w:val="21"/>
        </w:rPr>
        <w:t>주당 적정가격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우선주(Preferred Stock)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고정 배당을 영구히 지급 → 영구연금: </w:t>
      </w:r>
      <w:r>
        <w:rPr>
          <w:rFonts w:ascii="맑은 고딕" w:hAnsi="맑은 고딕" w:eastAsia="맑은 고딕"/>
          <w:color w:val="1F4E79"/>
          <w:sz w:val="21"/>
        </w:rPr>
        <w:t>V_p = D_pr_p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Chapter 11. 자본비용 (The Cost of Capital)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자본비용의 의미 (★개념 핵심)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자본비용(cost of capital)</w:t>
      </w:r>
      <w:r>
        <w:rPr>
          <w:rFonts w:ascii="맑은 고딕" w:hAnsi="맑은 고딕" w:eastAsia="맑은 고딕"/>
          <w:sz w:val="21"/>
        </w:rPr>
        <w:t xml:space="preserve">: 기업 전체 현금흐름을 할인할 때 쓰는 할인율. 채권·우선주·보통주 자본비용의 </w:t>
      </w:r>
      <w:r>
        <w:rPr>
          <w:rFonts w:ascii="맑은 고딕" w:hAnsi="맑은 고딕" w:eastAsia="맑은 고딕"/>
          <w:b/>
          <w:sz w:val="21"/>
        </w:rPr>
        <w:t>가중평균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투자자의 </w:t>
      </w:r>
      <w:r>
        <w:rPr>
          <w:rFonts w:ascii="맑은 고딕" w:hAnsi="맑은 고딕" w:eastAsia="맑은 고딕"/>
          <w:b/>
          <w:sz w:val="21"/>
        </w:rPr>
        <w:t>요구수익률 = 기업 입장의 자본비용</w:t>
      </w:r>
      <w:r>
        <w:rPr>
          <w:rFonts w:ascii="맑은 고딕" w:hAnsi="맑은 고딕" w:eastAsia="맑은 고딕"/>
          <w:sz w:val="21"/>
        </w:rPr>
        <w:t xml:space="preserve"> (투자자에게 동일 위험 투자안만큼은 벌어줘야 하므로).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미래 자본구조의 </w:t>
      </w:r>
      <w:r>
        <w:rPr>
          <w:rFonts w:ascii="맑은 고딕" w:hAnsi="맑은 고딕" w:eastAsia="맑은 고딕"/>
          <w:b/>
          <w:sz w:val="21"/>
        </w:rPr>
        <w:t>목표치(target capital structure)</w:t>
      </w:r>
      <w:r>
        <w:rPr>
          <w:rFonts w:ascii="맑은 고딕" w:hAnsi="맑은 고딕" w:eastAsia="맑은 고딕"/>
          <w:sz w:val="21"/>
        </w:rPr>
        <w:t xml:space="preserve"> 와 각 자본의 요구수익률을 알아야 함.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WACC 공식 (★★★핵심)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WACC = w_d r_d(1-T) + w_p r_p + w_s r_s</w:t>
      </w:r>
    </w:p>
    <w:p>
      <w:pPr>
        <w:pStyle w:val="ListBullet"/>
      </w:pPr>
      <w:r>
        <w:rPr>
          <w:rFonts w:ascii="맑은 고딕" w:hAnsi="맑은 고딕" w:eastAsia="맑은 고딕"/>
          <w:color w:val="1F4E79"/>
          <w:sz w:val="21"/>
        </w:rPr>
        <w:t>w_d, w_p, w_s</w:t>
      </w:r>
      <w:r>
        <w:rPr>
          <w:rFonts w:ascii="맑은 고딕" w:hAnsi="맑은 고딕" w:eastAsia="맑은 고딕"/>
          <w:sz w:val="21"/>
        </w:rPr>
        <w:t xml:space="preserve"> = 부채·우선주·보통주 </w:t>
      </w:r>
      <w:r>
        <w:rPr>
          <w:rFonts w:ascii="맑은 고딕" w:hAnsi="맑은 고딕" w:eastAsia="맑은 고딕"/>
          <w:b/>
          <w:sz w:val="21"/>
        </w:rPr>
        <w:t>목표 비중</w:t>
      </w:r>
      <w:r>
        <w:rPr>
          <w:rFonts w:ascii="맑은 고딕" w:hAnsi="맑은 고딕" w:eastAsia="맑은 고딕"/>
          <w:sz w:val="21"/>
        </w:rPr>
        <w:t xml:space="preserve"> (장부가보다 목표치 사용 권장)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이자는 세금공제효과(tax shield)</w:t>
      </w:r>
      <w:r>
        <w:rPr>
          <w:rFonts w:ascii="맑은 고딕" w:hAnsi="맑은 고딕" w:eastAsia="맑은 고딕"/>
          <w:sz w:val="21"/>
        </w:rPr>
        <w:t xml:space="preserve"> 가 있으므로 </w:t>
      </w:r>
      <w:r>
        <w:rPr>
          <w:rFonts w:ascii="맑은 고딕" w:hAnsi="맑은 고딕" w:eastAsia="맑은 고딕"/>
          <w:color w:val="1F4E79"/>
          <w:sz w:val="21"/>
        </w:rPr>
        <w:t>r_d</w:t>
      </w:r>
      <w:r>
        <w:rPr>
          <w:rFonts w:ascii="맑은 고딕" w:hAnsi="맑은 고딕" w:eastAsia="맑은 고딕"/>
          <w:sz w:val="21"/>
        </w:rPr>
        <w:t xml:space="preserve"> 에만 </w:t>
      </w:r>
      <w:r>
        <w:rPr>
          <w:rFonts w:ascii="맑은 고딕" w:hAnsi="맑은 고딕" w:eastAsia="맑은 고딕"/>
          <w:color w:val="1F4E79"/>
          <w:sz w:val="21"/>
        </w:rPr>
        <w:t>(1-T)</w:t>
      </w:r>
      <w:r>
        <w:rPr>
          <w:rFonts w:ascii="맑은 고딕" w:hAnsi="맑은 고딕" w:eastAsia="맑은 고딕"/>
          <w:sz w:val="21"/>
        </w:rPr>
        <w:t xml:space="preserve"> 를 곱해 </w:t>
      </w:r>
      <w:r>
        <w:rPr>
          <w:rFonts w:ascii="맑은 고딕" w:hAnsi="맑은 고딕" w:eastAsia="맑은 고딕"/>
          <w:b/>
          <w:sz w:val="21"/>
        </w:rPr>
        <w:t>세후</w:t>
      </w:r>
      <w:r>
        <w:rPr>
          <w:rFonts w:ascii="맑은 고딕" w:hAnsi="맑은 고딕" w:eastAsia="맑은 고딕"/>
          <w:sz w:val="21"/>
        </w:rPr>
        <w:t>로 조정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부채의 자본비용 (Cost of debt)</w:t>
      </w:r>
    </w:p>
    <w:p>
      <w:pPr>
        <w:pStyle w:val="ListBullet"/>
      </w:pPr>
      <w:r>
        <w:rPr>
          <w:rFonts w:ascii="맑은 고딕" w:hAnsi="맑은 고딕" w:eastAsia="맑은 고딕"/>
          <w:color w:val="1F4E79"/>
          <w:sz w:val="21"/>
        </w:rPr>
        <w:t>r_d</w:t>
      </w:r>
      <w:r>
        <w:rPr>
          <w:rFonts w:ascii="맑은 고딕" w:hAnsi="맑은 고딕" w:eastAsia="맑은 고딕"/>
          <w:sz w:val="21"/>
        </w:rPr>
        <w:t xml:space="preserve"> = 새 채권 발행 시 요구되는 이자율, 보통 </w:t>
      </w:r>
      <w:r>
        <w:rPr>
          <w:rFonts w:ascii="맑은 고딕" w:hAnsi="맑은 고딕" w:eastAsia="맑은 고딕"/>
          <w:b/>
          <w:sz w:val="21"/>
        </w:rPr>
        <w:t>현재 유통 채권의 YTM</w:t>
      </w:r>
      <w:r>
        <w:rPr>
          <w:rFonts w:ascii="맑은 고딕" w:hAnsi="맑은 고딕" w:eastAsia="맑은 고딕"/>
          <w:sz w:val="21"/>
        </w:rPr>
        <w:t>으로 추정 (시장상황 반영)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사용값: </w:t>
      </w:r>
      <w:r>
        <w:rPr>
          <w:rFonts w:ascii="맑은 고딕" w:hAnsi="맑은 고딕" w:eastAsia="맑은 고딕"/>
          <w:b/>
          <w:sz w:val="21"/>
        </w:rPr>
        <w:t>세후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1F4E79"/>
          <w:sz w:val="21"/>
        </w:rPr>
        <w:t>r_d(1-T)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우선주의 자본비용 (Cost of preferred stock)</w:t>
      </w:r>
    </w:p>
    <w:p>
      <w:pPr>
        <w:pStyle w:val="ListBullet"/>
      </w:pPr>
      <w:r>
        <w:rPr>
          <w:rFonts w:ascii="맑은 고딕" w:hAnsi="맑은 고딕" w:eastAsia="맑은 고딕"/>
          <w:color w:val="1F4E79"/>
          <w:sz w:val="21"/>
        </w:rPr>
        <w:t>r_p = D_pP_p</w:t>
      </w:r>
      <w:r>
        <w:rPr>
          <w:rFonts w:ascii="맑은 고딕" w:hAnsi="맑은 고딕" w:eastAsia="맑은 고딕"/>
          <w:sz w:val="21"/>
        </w:rPr>
        <w:t xml:space="preserve"> (우선주 배당 ÷ 우선주 가격)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우선주 배당은 </w:t>
      </w:r>
      <w:r>
        <w:rPr>
          <w:rFonts w:ascii="맑은 고딕" w:hAnsi="맑은 고딕" w:eastAsia="맑은 고딕"/>
          <w:b/>
          <w:sz w:val="21"/>
        </w:rPr>
        <w:t>세금공제 항목이 아님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1F4E79"/>
          <w:sz w:val="21"/>
        </w:rPr>
        <w:t>(1-T)</w:t>
      </w:r>
      <w:r>
        <w:rPr>
          <w:rFonts w:ascii="맑은 고딕" w:hAnsi="맑은 고딕" w:eastAsia="맑은 고딕"/>
          <w:sz w:val="21"/>
        </w:rPr>
        <w:t xml:space="preserve"> 조정 </w:t>
      </w:r>
      <w:r>
        <w:rPr>
          <w:rFonts w:ascii="맑은 고딕" w:hAnsi="맑은 고딕" w:eastAsia="맑은 고딕"/>
          <w:b/>
          <w:sz w:val="21"/>
        </w:rPr>
        <w:t>없음</w:t>
      </w:r>
      <w:r>
        <w:rPr>
          <w:rFonts w:ascii="맑은 고딕" w:hAnsi="맑은 고딕" w:eastAsia="맑은 고딕"/>
          <w:sz w:val="21"/>
        </w:rPr>
        <w:t xml:space="preserve"> (명목 </w:t>
      </w:r>
      <w:r>
        <w:rPr>
          <w:rFonts w:ascii="맑은 고딕" w:hAnsi="맑은 고딕" w:eastAsia="맑은 고딕"/>
          <w:color w:val="1F4E79"/>
          <w:sz w:val="21"/>
        </w:rPr>
        <w:t>r_p</w:t>
      </w:r>
      <w:r>
        <w:rPr>
          <w:rFonts w:ascii="맑은 고딕" w:hAnsi="맑은 고딕" w:eastAsia="맑은 고딕"/>
          <w:sz w:val="21"/>
        </w:rPr>
        <w:t xml:space="preserve"> 사용)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>빈출 함정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보통주의 자본비용 (Cost of equity, rs) (★★중요)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유보이익(내부자금)에도 자본비용이 </w:t>
      </w:r>
      <w:r>
        <w:rPr>
          <w:rFonts w:ascii="맑은 고딕" w:hAnsi="맑은 고딕" w:eastAsia="맑은 고딕"/>
          <w:b/>
          <w:sz w:val="21"/>
        </w:rPr>
        <w:t>존재</w:t>
      </w:r>
      <w:r>
        <w:rPr>
          <w:rFonts w:ascii="맑은 고딕" w:hAnsi="맑은 고딕" w:eastAsia="맑은 고딕"/>
          <w:sz w:val="21"/>
        </w:rPr>
        <w:t xml:space="preserve"> → 주주가 배당 대신 재투자에 맡긴 돈이므로 최소한 </w:t>
      </w:r>
      <w:r>
        <w:rPr>
          <w:rFonts w:ascii="맑은 고딕" w:hAnsi="맑은 고딕" w:eastAsia="맑은 고딕"/>
          <w:color w:val="1F4E79"/>
          <w:sz w:val="21"/>
        </w:rPr>
        <w:t>r_s</w:t>
      </w:r>
      <w:r>
        <w:rPr>
          <w:rFonts w:ascii="맑은 고딕" w:hAnsi="맑은 고딕" w:eastAsia="맑은 고딕"/>
          <w:sz w:val="21"/>
        </w:rPr>
        <w:t xml:space="preserve"> 만큼 요구.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세 가지 추정 방법</w:t>
      </w:r>
      <w:r>
        <w:rPr>
          <w:rFonts w:ascii="맑은 고딕" w:hAnsi="맑은 고딕" w:eastAsia="맑은 고딕"/>
          <w:sz w:val="21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CAPM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r_s = r_RF + (r_M - r_RF) b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Bond-Yield-Plus-Risk-Premium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r_s = r_d(YTM) + RP</w:t>
      </w:r>
    </w:p>
    <w:p>
      <w:pPr>
        <w:pStyle w:val="ListBullet"/>
        <w:ind w:left="1440"/>
      </w:pPr>
      <w:r>
        <w:rPr>
          <w:rFonts w:ascii="맑은 고딕" w:hAnsi="맑은 고딕" w:eastAsia="맑은 고딕"/>
          <w:sz w:val="21"/>
        </w:rPr>
        <w:t xml:space="preserve">주식의 위험프리미엄(RP)은 실증상 </w:t>
      </w:r>
      <w:r>
        <w:rPr>
          <w:rFonts w:ascii="맑은 고딕" w:hAnsi="맑은 고딕" w:eastAsia="맑은 고딕"/>
          <w:b/>
          <w:sz w:val="21"/>
        </w:rPr>
        <w:t>3~5%</w:t>
      </w:r>
      <w:r>
        <w:rPr>
          <w:rFonts w:ascii="맑은 고딕" w:hAnsi="맑은 고딕" w:eastAsia="맑은 고딕"/>
          <w:sz w:val="21"/>
        </w:rPr>
        <w:t xml:space="preserve"> → 보통 중간값 </w:t>
      </w:r>
      <w:r>
        <w:rPr>
          <w:rFonts w:ascii="맑은 고딕" w:hAnsi="맑은 고딕" w:eastAsia="맑은 고딕"/>
          <w:b/>
          <w:sz w:val="21"/>
        </w:rPr>
        <w:t>약 4%</w:t>
      </w:r>
      <w:r>
        <w:rPr>
          <w:rFonts w:ascii="맑은 고딕" w:hAnsi="맑은 고딕" w:eastAsia="맑은 고딕"/>
          <w:sz w:val="21"/>
        </w:rPr>
        <w:t xml:space="preserve"> 가산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DCF(배당성장모형 역산)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r_s = D_1P_0 + g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→ 세 방법으로 구한 값을 </w:t>
      </w:r>
      <w:r>
        <w:rPr>
          <w:rFonts w:ascii="맑은 고딕" w:hAnsi="맑은 고딕" w:eastAsia="맑은 고딕"/>
          <w:b/>
          <w:sz w:val="21"/>
        </w:rPr>
        <w:t>평균</w:t>
      </w:r>
      <w:r>
        <w:rPr>
          <w:rFonts w:ascii="맑은 고딕" w:hAnsi="맑은 고딕" w:eastAsia="맑은 고딕"/>
          <w:sz w:val="21"/>
        </w:rPr>
        <w:t xml:space="preserve">하여 최종 </w:t>
      </w:r>
      <w:r>
        <w:rPr>
          <w:rFonts w:ascii="맑은 고딕" w:hAnsi="맑은 고딕" w:eastAsia="맑은 고딕"/>
          <w:color w:val="1F4E79"/>
          <w:sz w:val="21"/>
        </w:rPr>
        <w:t>r_s</w:t>
      </w:r>
      <w:r>
        <w:rPr>
          <w:rFonts w:ascii="맑은 고딕" w:hAnsi="맑은 고딕" w:eastAsia="맑은 고딕"/>
          <w:sz w:val="21"/>
        </w:rPr>
        <w:t xml:space="preserve"> 산출 (보통 range의 중간값 사용)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위험과 자본비용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자본비용 = 각 투자안의 기대수익이 넘어야 할 </w:t>
      </w:r>
      <w:r>
        <w:rPr>
          <w:rFonts w:ascii="맑은 고딕" w:hAnsi="맑은 고딕" w:eastAsia="맑은 고딕"/>
          <w:b/>
          <w:sz w:val="21"/>
        </w:rPr>
        <w:t>허들레이트(hurdle rate)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투자안 기대수익 &gt; 자본비용일 때만 </w:t>
      </w:r>
      <w:r>
        <w:rPr>
          <w:rFonts w:ascii="맑은 고딕" w:hAnsi="맑은 고딕" w:eastAsia="맑은 고딕"/>
          <w:b/>
          <w:sz w:val="21"/>
        </w:rPr>
        <w:t>채택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Chapter 12. 자본예산 (The Basics of Capital Budgeting)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자본예산이란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효과가 장기적으로 나타나는 투자안을 분석해 capital budget에 넣을지 결정하는 전 과정.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미래 현금흐름 예측 → 현재가치 계산 → 추진/기각 결정.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독립적 vs 상호배타적 프로젝트 (★개념)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독립적(independent)</w:t>
      </w:r>
      <w:r>
        <w:rPr>
          <w:rFonts w:ascii="맑은 고딕" w:hAnsi="맑은 고딕" w:eastAsia="맑은 고딕"/>
          <w:sz w:val="21"/>
        </w:rPr>
        <w:t>: 한 투자안 채택이 다른 투자안에 영향 없음 → 둘 다 추진 가능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상호배타적(mutually exclusive)</w:t>
      </w:r>
      <w:r>
        <w:rPr>
          <w:rFonts w:ascii="맑은 고딕" w:hAnsi="맑은 고딕" w:eastAsia="맑은 고딕"/>
          <w:sz w:val="21"/>
        </w:rPr>
        <w:t>: 하나를 택하면 다른 것은 못 택함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5가지 평가 척도 → NPV가 최선 (방법론 간 결론이 다르면 NPV 따름)</w:t>
      </w:r>
    </w:p>
    <w:p>
      <w:r>
        <w:rPr>
          <w:rFonts w:ascii="맑은 고딕" w:hAnsi="맑은 고딕" w:eastAsia="맑은 고딕"/>
          <w:b/>
          <w:sz w:val="22"/>
        </w:rPr>
        <w:t>1. NPV (순현재가치) ★★★최빈출 (사진 예시 "NPV 구하기")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NPV = Σ_t=0^NCF_t(1+r)^t = CF_0 + CF_1(1+r)^1 + ... + CF_N(1+r)^N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 = 프로젝트 위험을 반영한 자본비용(WACC), 초기투자 </w:t>
      </w:r>
      <w:r>
        <w:rPr>
          <w:rFonts w:ascii="맑은 고딕" w:hAnsi="맑은 고딕" w:eastAsia="맑은 고딕"/>
          <w:color w:val="1F4E79"/>
          <w:sz w:val="21"/>
        </w:rPr>
        <w:t>CF_0</w:t>
      </w:r>
      <w:r>
        <w:rPr>
          <w:rFonts w:ascii="맑은 고딕" w:hAnsi="맑은 고딕" w:eastAsia="맑은 고딕"/>
          <w:sz w:val="21"/>
        </w:rPr>
        <w:t>는 보통 음수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의사결정 규칙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 xml:space="preserve">독립적: </w:t>
      </w:r>
      <w:r>
        <w:rPr>
          <w:rFonts w:ascii="맑은 고딕" w:hAnsi="맑은 고딕" w:eastAsia="맑은 고딕"/>
          <w:b/>
          <w:sz w:val="21"/>
        </w:rPr>
        <w:t>NPV &gt; 0</w:t>
      </w:r>
      <w:r>
        <w:rPr>
          <w:rFonts w:ascii="맑은 고딕" w:hAnsi="맑은 고딕" w:eastAsia="맑은 고딕"/>
          <w:sz w:val="21"/>
        </w:rPr>
        <w:t xml:space="preserve"> 이면 채택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 xml:space="preserve">상호배타적: </w:t>
      </w:r>
      <w:r>
        <w:rPr>
          <w:rFonts w:ascii="맑은 고딕" w:hAnsi="맑은 고딕" w:eastAsia="맑은 고딕"/>
          <w:b/>
          <w:sz w:val="21"/>
        </w:rPr>
        <w:t>가장 높은 NPV</w:t>
      </w:r>
      <w:r>
        <w:rPr>
          <w:rFonts w:ascii="맑은 고딕" w:hAnsi="맑은 고딕" w:eastAsia="맑은 고딕"/>
          <w:sz w:val="21"/>
        </w:rPr>
        <w:t xml:space="preserve"> 선택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NPV는 이 프로젝트가 </w:t>
      </w:r>
      <w:r>
        <w:rPr>
          <w:rFonts w:ascii="맑은 고딕" w:hAnsi="맑은 고딕" w:eastAsia="맑은 고딕"/>
          <w:b/>
          <w:sz w:val="21"/>
        </w:rPr>
        <w:t>주주 부(富)에 기여하는 금액</w:t>
      </w:r>
      <w:r>
        <w:rPr>
          <w:rFonts w:ascii="맑은 고딕" w:hAnsi="맑은 고딕" w:eastAsia="맑은 고딕"/>
          <w:sz w:val="21"/>
        </w:rPr>
        <w:t>을 직접 보여줌 → 가장 우수한 척도</w:t>
      </w:r>
    </w:p>
    <w:p>
      <w:r>
        <w:rPr>
          <w:rFonts w:ascii="맑은 고딕" w:hAnsi="맑은 고딕" w:eastAsia="맑은 고딕"/>
          <w:b/>
          <w:sz w:val="22"/>
        </w:rPr>
        <w:t>2. IRR (내부수익률) ★★★ (사진 예시 "IRR 구하기")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NPV를 0으로 만드는 할인율</w:t>
      </w:r>
      <w:r>
        <w:rPr>
          <w:rFonts w:ascii="맑은 고딕" w:hAnsi="맑은 고딕" w:eastAsia="맑은 고딕"/>
          <w:sz w:val="21"/>
        </w:rPr>
        <w:t xml:space="preserve"> (채권의 YTM과 유사한 개념 = 프로젝트의 수익률)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2"/>
        </w:rPr>
        <w:t>0 = Σ_t=0^NCF_t(1+IRR)^t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의사결정 규칙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 xml:space="preserve">독립적: </w:t>
      </w:r>
      <w:r>
        <w:rPr>
          <w:rFonts w:ascii="맑은 고딕" w:hAnsi="맑은 고딕" w:eastAsia="맑은 고딕"/>
          <w:b/>
          <w:sz w:val="21"/>
        </w:rPr>
        <w:t>IRR &gt; WACC</w:t>
      </w:r>
      <w:r>
        <w:rPr>
          <w:rFonts w:ascii="맑은 고딕" w:hAnsi="맑은 고딕" w:eastAsia="맑은 고딕"/>
          <w:sz w:val="21"/>
        </w:rPr>
        <w:t xml:space="preserve"> 이면 채택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>상호배타적: 더 높은 IRR 선택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IRR &gt; WACC → 자본비용보다 수익률이 높아 주주에게 수익이 돌아감</w:t>
      </w:r>
    </w:p>
    <w:p>
      <w:r>
        <w:rPr>
          <w:rFonts w:ascii="맑은 고딕" w:hAnsi="맑은 고딕" w:eastAsia="맑은 고딕"/>
          <w:b/>
          <w:sz w:val="22"/>
        </w:rPr>
        <w:t>IRR의 문제점 (★빈출 T/F)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복수의 IRR(multiple IRR)</w:t>
      </w:r>
      <w:r>
        <w:rPr>
          <w:rFonts w:ascii="맑은 고딕" w:hAnsi="맑은 고딕" w:eastAsia="맑은 고딕"/>
          <w:sz w:val="21"/>
        </w:rPr>
        <w:t xml:space="preserve">: 현금흐름 부호가 </w:t>
      </w:r>
      <w:r>
        <w:rPr>
          <w:rFonts w:ascii="맑은 고딕" w:hAnsi="맑은 고딕" w:eastAsia="맑은 고딕"/>
          <w:b/>
          <w:sz w:val="21"/>
        </w:rPr>
        <w:t>2번 이상</w:t>
      </w:r>
      <w:r>
        <w:rPr>
          <w:rFonts w:ascii="맑은 고딕" w:hAnsi="맑은 고딕" w:eastAsia="맑은 고딕"/>
          <w:sz w:val="21"/>
        </w:rPr>
        <w:t xml:space="preserve"> 바뀌는 </w:t>
      </w:r>
      <w:r>
        <w:rPr>
          <w:rFonts w:ascii="맑은 고딕" w:hAnsi="맑은 고딕" w:eastAsia="맑은 고딕"/>
          <w:b/>
          <w:sz w:val="21"/>
        </w:rPr>
        <w:t>비정상 현금흐름</w:t>
      </w:r>
      <w:r>
        <w:rPr>
          <w:rFonts w:ascii="맑은 고딕" w:hAnsi="맑은 고딕" w:eastAsia="맑은 고딕"/>
          <w:sz w:val="21"/>
        </w:rPr>
        <w:t>(예: 광산업 −+++−)에서는 IRR이 2개 이상 나옴. → NPV법은 이 문제 없음.</w:t>
      </w:r>
    </w:p>
    <w:p>
      <w:pPr>
        <w:pStyle w:val="ListBullet"/>
        <w:ind w:left="1080"/>
      </w:pPr>
      <w:r>
        <w:rPr>
          <w:rFonts w:ascii="맑은 고딕" w:hAnsi="맑은 고딕" w:eastAsia="맑은 고딕"/>
          <w:b/>
          <w:sz w:val="21"/>
        </w:rPr>
        <w:t>정상 현금흐름</w:t>
      </w:r>
      <w:r>
        <w:rPr>
          <w:rFonts w:ascii="맑은 고딕" w:hAnsi="맑은 고딕" w:eastAsia="맑은 고딕"/>
          <w:sz w:val="21"/>
        </w:rPr>
        <w:t>: 부호 1번 변경 (−+++++)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재투자율 가정</w:t>
      </w:r>
      <w:r>
        <w:rPr>
          <w:rFonts w:ascii="맑은 고딕" w:hAnsi="맑은 고딕" w:eastAsia="맑은 고딕"/>
          <w:sz w:val="21"/>
        </w:rPr>
        <w:t xml:space="preserve">: NPV는 중도 현금흐름이 </w:t>
      </w:r>
      <w:r>
        <w:rPr>
          <w:rFonts w:ascii="맑은 고딕" w:hAnsi="맑은 고딕" w:eastAsia="맑은 고딕"/>
          <w:b/>
          <w:sz w:val="21"/>
        </w:rPr>
        <w:t>WACC</w:t>
      </w:r>
      <w:r>
        <w:rPr>
          <w:rFonts w:ascii="맑은 고딕" w:hAnsi="맑은 고딕" w:eastAsia="맑은 고딕"/>
          <w:sz w:val="21"/>
        </w:rPr>
        <w:t xml:space="preserve">로 재투자된다고 가정(합리적). IRR은 </w:t>
      </w:r>
      <w:r>
        <w:rPr>
          <w:rFonts w:ascii="맑은 고딕" w:hAnsi="맑은 고딕" w:eastAsia="맑은 고딕"/>
          <w:b/>
          <w:sz w:val="21"/>
        </w:rPr>
        <w:t>IRR로</w:t>
      </w:r>
      <w:r>
        <w:rPr>
          <w:rFonts w:ascii="맑은 고딕" w:hAnsi="맑은 고딕" w:eastAsia="맑은 고딕"/>
          <w:sz w:val="21"/>
        </w:rPr>
        <w:t xml:space="preserve"> 재투자된다고 가정(비현실적) → 그래서 NPV법이 더 타당.</w:t>
      </w:r>
    </w:p>
    <w:p>
      <w:r>
        <w:rPr>
          <w:rFonts w:ascii="맑은 고딕" w:hAnsi="맑은 고딕" w:eastAsia="맑은 고딕"/>
          <w:b/>
          <w:sz w:val="22"/>
        </w:rPr>
        <w:t>3. MIRR (수정내부수익률)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IRR과 유사하나 중도 현금흐름을 </w:t>
      </w:r>
      <w:r>
        <w:rPr>
          <w:rFonts w:ascii="맑은 고딕" w:hAnsi="맑은 고딕" w:eastAsia="맑은 고딕"/>
          <w:b/>
          <w:sz w:val="21"/>
        </w:rPr>
        <w:t>WACC로 재투자</w:t>
      </w:r>
      <w:r>
        <w:rPr>
          <w:rFonts w:ascii="맑은 고딕" w:hAnsi="맑은 고딕" w:eastAsia="맑은 고딕"/>
          <w:sz w:val="21"/>
        </w:rPr>
        <w:t>한다고 가정 → IRR의 재투자 가정 문제를 개선(modify)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계산: ① 중도 현금흐름을 WACC로 복리한 </w:t>
      </w:r>
      <w:r>
        <w:rPr>
          <w:rFonts w:ascii="맑은 고딕" w:hAnsi="맑은 고딕" w:eastAsia="맑은 고딕"/>
          <w:b/>
          <w:sz w:val="21"/>
        </w:rPr>
        <w:t>터미널가치(TV)</w:t>
      </w:r>
      <w:r>
        <w:rPr>
          <w:rFonts w:ascii="맑은 고딕" w:hAnsi="맑은 고딕" w:eastAsia="맑은 고딕"/>
          <w:sz w:val="21"/>
        </w:rPr>
        <w:t xml:space="preserve"> 산출 → ② PV와 TV를 일치시키는 이자율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대소관계(일반적): </w:t>
      </w:r>
      <w:r>
        <w:rPr>
          <w:rFonts w:ascii="맑은 고딕" w:hAnsi="맑은 고딕" w:eastAsia="맑은 고딕"/>
          <w:b/>
          <w:sz w:val="21"/>
        </w:rPr>
        <w:t>NPV &gt; MIRR &gt; IRR</w:t>
      </w:r>
    </w:p>
    <w:p>
      <w:r>
        <w:rPr>
          <w:rFonts w:ascii="맑은 고딕" w:hAnsi="맑은 고딕" w:eastAsia="맑은 고딕"/>
          <w:b/>
          <w:sz w:val="22"/>
        </w:rPr>
        <w:t>4. 회수기간법 (Payback Period)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투자비용을 회수하는 데 걸리는 기간 (누적 현금흐름 = 0이 되는 시점)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장점</w:t>
      </w:r>
      <w:r>
        <w:rPr>
          <w:rFonts w:ascii="맑은 고딕" w:hAnsi="맑은 고딕" w:eastAsia="맑은 고딕"/>
          <w:sz w:val="21"/>
        </w:rPr>
        <w:t>: 위험·유동성 지표(짧을수록 불확실성↓), 계산·이해 쉬움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단점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화폐의 시간가치 무시</w:t>
      </w:r>
      <w:r>
        <w:rPr>
          <w:rFonts w:ascii="맑은 고딕" w:hAnsi="맑은 고딕" w:eastAsia="맑은 고딕"/>
          <w:sz w:val="21"/>
        </w:rPr>
        <w:t>, 회수기간 이후 현금흐름 무시 (수익성보다 시간성 중심)</w:t>
      </w:r>
    </w:p>
    <w:p>
      <w:r>
        <w:rPr>
          <w:rFonts w:ascii="맑은 고딕" w:hAnsi="맑은 고딕" w:eastAsia="맑은 고딕"/>
          <w:b/>
          <w:sz w:val="22"/>
        </w:rPr>
        <w:t>5. 할인회수기간법 (Discounted Payback)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할인된 현금흐름으로 회수기간 계산 → 시간가치는 반영하나 여전히 </w:t>
      </w:r>
      <w:r>
        <w:rPr>
          <w:rFonts w:ascii="맑은 고딕" w:hAnsi="맑은 고딕" w:eastAsia="맑은 고딕"/>
          <w:b/>
          <w:sz w:val="21"/>
        </w:rPr>
        <w:t>회수 이후 현금흐름(수익성) 무시</w:t>
      </w: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NPV Profile &amp; Crossover Rate (★★★ 사진 예시 "NPV 그래프 설명 옳은 것 고르기")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NPV Profile</w:t>
      </w:r>
      <w:r>
        <w:rPr>
          <w:rFonts w:ascii="맑은 고딕" w:hAnsi="맑은 고딕" w:eastAsia="맑은 고딕"/>
          <w:sz w:val="21"/>
        </w:rPr>
        <w:t>: 여러 자본비용(x축)에 대한 NPV(y축) 그래프. x절편 = IRR.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독립적 투자안</w:t>
      </w:r>
      <w:r>
        <w:rPr>
          <w:rFonts w:ascii="맑은 고딕" w:hAnsi="맑은 고딕" w:eastAsia="맑은 고딕"/>
          <w:sz w:val="21"/>
        </w:rPr>
        <w:t xml:space="preserve">: NPV법과 IRR법이 </w:t>
      </w:r>
      <w:r>
        <w:rPr>
          <w:rFonts w:ascii="맑은 고딕" w:hAnsi="맑은 고딕" w:eastAsia="맑은 고딕"/>
          <w:b/>
          <w:sz w:val="21"/>
        </w:rPr>
        <w:t>항상 동일한 결론</w:t>
      </w:r>
      <w:r>
        <w:rPr>
          <w:rFonts w:ascii="맑은 고딕" w:hAnsi="맑은 고딕" w:eastAsia="맑은 고딕"/>
          <w:sz w:val="21"/>
        </w:rPr>
        <w:t xml:space="preserve"> (WACC &lt; IRR이면 NPV &gt; 0이므로)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상호배타적 투자안</w:t>
      </w:r>
      <w:r>
        <w:rPr>
          <w:rFonts w:ascii="맑은 고딕" w:hAnsi="맑은 고딕" w:eastAsia="맑은 고딕"/>
          <w:sz w:val="21"/>
        </w:rPr>
        <w:t xml:space="preserve">: 두 프로젝트의 NPV 곡선이 교차하는 </w:t>
      </w:r>
      <w:r>
        <w:rPr>
          <w:rFonts w:ascii="맑은 고딕" w:hAnsi="맑은 고딕" w:eastAsia="맑은 고딕"/>
          <w:b/>
          <w:sz w:val="21"/>
        </w:rPr>
        <w:t>Crossover rate</w:t>
      </w:r>
      <w:r>
        <w:rPr>
          <w:rFonts w:ascii="맑은 고딕" w:hAnsi="맑은 고딕" w:eastAsia="맑은 고딕"/>
          <w:sz w:val="21"/>
        </w:rPr>
        <w:t xml:space="preserve"> 기준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 xml:space="preserve">자본비용 &lt; crossover rate → </w:t>
      </w:r>
      <w:r>
        <w:rPr>
          <w:rFonts w:ascii="맑은 고딕" w:hAnsi="맑은 고딕" w:eastAsia="맑은 고딕"/>
          <w:b/>
          <w:sz w:val="21"/>
        </w:rPr>
        <w:t>NPV-L &gt; NPV-S</w:t>
      </w:r>
      <w:r>
        <w:rPr>
          <w:rFonts w:ascii="맑은 고딕" w:hAnsi="맑은 고딕" w:eastAsia="맑은 고딕"/>
          <w:sz w:val="21"/>
        </w:rPr>
        <w:t xml:space="preserve"> (NPV법과 IRR법 결론이 </w:t>
      </w:r>
      <w:r>
        <w:rPr>
          <w:rFonts w:ascii="맑은 고딕" w:hAnsi="맑은 고딕" w:eastAsia="맑은 고딕"/>
          <w:b/>
          <w:sz w:val="21"/>
        </w:rPr>
        <w:t>다를 수 있음</w:t>
      </w:r>
      <w:r>
        <w:rPr>
          <w:rFonts w:ascii="맑은 고딕" w:hAnsi="맑은 고딕" w:eastAsia="맑은 고딕"/>
          <w:sz w:val="21"/>
        </w:rPr>
        <w:t>)</w:t>
      </w:r>
    </w:p>
    <w:p>
      <w:pPr>
        <w:pStyle w:val="ListBullet"/>
        <w:ind w:left="1080"/>
      </w:pPr>
      <w:r>
        <w:rPr>
          <w:rFonts w:ascii="맑은 고딕" w:hAnsi="맑은 고딕" w:eastAsia="맑은 고딕"/>
          <w:sz w:val="21"/>
        </w:rPr>
        <w:t xml:space="preserve">자본비용 &gt; crossover rate → NPV법·IRR법 결론 </w:t>
      </w:r>
      <w:r>
        <w:rPr>
          <w:rFonts w:ascii="맑은 고딕" w:hAnsi="맑은 고딕" w:eastAsia="맑은 고딕"/>
          <w:b/>
          <w:sz w:val="21"/>
        </w:rPr>
        <w:t>일치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곡선이 교차하는 이유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현금흐름 시점 차이</w:t>
      </w:r>
      <w:r>
        <w:rPr>
          <w:rFonts w:ascii="맑은 고딕" w:hAnsi="맑은 고딕" w:eastAsia="맑은 고딕"/>
          <w:sz w:val="21"/>
        </w:rPr>
        <w:t>: 먼 미래에 현금이 들어오는 프로젝트(L)일수록 WACC 변화에 더 민감 → 기울기가 가파름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프로젝트 규모 차이</w:t>
      </w:r>
      <w:r>
        <w:rPr>
          <w:rFonts w:ascii="맑은 고딕" w:hAnsi="맑은 고딕" w:eastAsia="맑은 고딕"/>
          <w:sz w:val="21"/>
        </w:rPr>
        <w:t>: 초기 투자규모 차이가 크면 교차 발생</w:t>
      </w:r>
    </w:p>
    <w:p>
      <w:pPr>
        <w:pStyle w:val="ListBullet"/>
      </w:pP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상호배타적 투자안에서 방법 간 결론이 다르면 → </w:t>
      </w:r>
      <w:r>
        <w:rPr>
          <w:rFonts w:ascii="맑은 고딕" w:hAnsi="맑은 고딕" w:eastAsia="맑은 고딕"/>
          <w:b/>
          <w:sz w:val="21"/>
        </w:rPr>
        <w:t>NPV법이 가장 합당</w:t>
      </w:r>
      <w:r>
        <w:rPr>
          <w:rFonts w:ascii="맑은 고딕" w:hAnsi="맑은 고딕" w:eastAsia="맑은 고딕"/>
          <w:sz w:val="21"/>
        </w:rPr>
        <w:t xml:space="preserve"> (주주에게 떨어지는 수익금을 정확히 보여줌)</w:t>
      </w:r>
    </w:p>
    <w:p>
      <w:pPr>
        <w:pBdr>
          <w:bottom w:val="single" w:sz="6" w:space="1" w:color="AAAAAA"/>
        </w:pBdr>
      </w:pP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시험 직전 체크리스트 (개념·단답·T/F 대비)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b/>
          <w:sz w:val="21"/>
        </w:rPr>
        <w:t>기초연금 &gt; 기말연금</w:t>
      </w:r>
      <w:r>
        <w:rPr>
          <w:rFonts w:ascii="맑은 고딕" w:hAnsi="맑은 고딕" w:eastAsia="맑은 고딕"/>
          <w:sz w:val="21"/>
        </w:rPr>
        <w:t xml:space="preserve"> (PV·FV 모두), EAR &gt; INOM (연 2회 이상 복리)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EAR로 변환 후 비교해야 하는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 xml:space="preserve">표준편차 = 개별(총)위험, </w:t>
      </w:r>
      <w:r>
        <w:rPr>
          <w:rFonts w:ascii="맑은 고딕" w:hAnsi="맑은 고딕" w:eastAsia="맑은 고딕"/>
          <w:b/>
          <w:sz w:val="21"/>
        </w:rPr>
        <w:t>베타 = 시장위험</w:t>
      </w:r>
      <w:r>
        <w:rPr>
          <w:rFonts w:ascii="맑은 고딕" w:hAnsi="맑은 고딕" w:eastAsia="맑은 고딕"/>
          <w:sz w:val="21"/>
        </w:rPr>
        <w:t>, CV = 수익 1단위당 위험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분산투자: 30~40개에서 분산가능위험 제거, 시장위험만 잔존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상관계수 ρ=−1이면 무위험 포트폴리오 가능, ρ=+1이면 분산효과 없음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b/>
          <w:sz w:val="21"/>
        </w:rPr>
        <w:t>CAPM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color w:val="1F4E79"/>
          <w:sz w:val="21"/>
        </w:rPr>
        <w:t>r_i = r_RF + (r_M-r_RF)b</w:t>
      </w:r>
      <w:r>
        <w:rPr>
          <w:rFonts w:ascii="맑은 고딕" w:hAnsi="맑은 고딕" w:eastAsia="맑은 고딕"/>
          <w:sz w:val="21"/>
        </w:rPr>
        <w:t xml:space="preserve"> / SML 절편=</w:t>
      </w:r>
      <w:r>
        <w:rPr>
          <w:rFonts w:ascii="맑은 고딕" w:hAnsi="맑은 고딕" w:eastAsia="맑은 고딕"/>
          <w:color w:val="1F4E79"/>
          <w:sz w:val="21"/>
        </w:rPr>
        <w:t>r_RF</w:t>
      </w:r>
      <w:r>
        <w:rPr>
          <w:rFonts w:ascii="맑은 고딕" w:hAnsi="맑은 고딕" w:eastAsia="맑은 고딕"/>
          <w:sz w:val="21"/>
        </w:rPr>
        <w:t>, 기울기=</w:t>
      </w:r>
      <w:r>
        <w:rPr>
          <w:rFonts w:ascii="맑은 고딕" w:hAnsi="맑은 고딕" w:eastAsia="맑은 고딕"/>
          <w:color w:val="1F4E79"/>
          <w:sz w:val="21"/>
        </w:rPr>
        <w:t>RP_M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인플레↑→SML 평행이동↑ / 위험회피↑→SML 기울기↑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채권: 이자율↑→가격↓ / 할인채·할증채·액면채 조건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YTM = CY + CGY (할인채 CGY+, 할증채 CGY−)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이자율위험(장기채↑) vs 재투자위험(단기채↑) trade-off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b/>
          <w:sz w:val="21"/>
        </w:rPr>
        <w:t>배당성장모형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1F4E79"/>
          <w:sz w:val="21"/>
        </w:rPr>
        <w:t>P_0 = D_1/(r_s-g)</w:t>
      </w:r>
      <w:r>
        <w:rPr>
          <w:rFonts w:ascii="맑은 고딕" w:hAnsi="맑은 고딕" w:eastAsia="맑은 고딕"/>
          <w:sz w:val="21"/>
        </w:rPr>
        <w:t xml:space="preserve">, 전제 </w:t>
      </w:r>
      <w:r>
        <w:rPr>
          <w:rFonts w:ascii="맑은 고딕" w:hAnsi="맑은 고딕" w:eastAsia="맑은 고딕"/>
          <w:color w:val="1F4E79"/>
          <w:sz w:val="21"/>
        </w:rPr>
        <w:t>r_s&gt;g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color w:val="1F4E79"/>
          <w:sz w:val="21"/>
        </w:rPr>
        <w:t>g=b× ROE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 xml:space="preserve">FCF 모형은 </w:t>
      </w:r>
      <w:r>
        <w:rPr>
          <w:rFonts w:ascii="맑은 고딕" w:hAnsi="맑은 고딕" w:eastAsia="맑은 고딕"/>
          <w:b/>
          <w:sz w:val="21"/>
        </w:rPr>
        <w:t>WACC</w:t>
      </w:r>
      <w:r>
        <w:rPr>
          <w:rFonts w:ascii="맑은 고딕" w:hAnsi="맑은 고딕" w:eastAsia="맑은 고딕"/>
          <w:sz w:val="21"/>
        </w:rPr>
        <w:t>로 할인 (rs 아님!)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b/>
          <w:sz w:val="21"/>
        </w:rPr>
        <w:t>WACC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맑은 고딕" w:hAnsi="맑은 고딕" w:eastAsia="맑은 고딕"/>
          <w:color w:val="1F4E79"/>
          <w:sz w:val="21"/>
        </w:rPr>
        <w:t>w_d r_d(1-T) + w_p r_p + w_s r_s</w:t>
      </w:r>
      <w:r>
        <w:rPr>
          <w:rFonts w:ascii="맑은 고딕" w:hAnsi="맑은 고딕" w:eastAsia="맑은 고딕"/>
          <w:sz w:val="21"/>
        </w:rPr>
        <w:t xml:space="preserve"> / 부채만 세후조정, 우선주는 세후조정 안 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rs 3가지 방법(CAPM, 채권YTM+RP, DCF) 평균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b/>
          <w:sz w:val="21"/>
        </w:rPr>
        <w:t>NPV &gt; 0 채택</w:t>
      </w:r>
      <w:r>
        <w:rPr>
          <w:rFonts w:ascii="맑은 고딕" w:hAnsi="맑은 고딕" w:eastAsia="맑은 고딕"/>
          <w:sz w:val="21"/>
        </w:rPr>
        <w:t>, 상호배타면 최대 NPV / IRR &gt; WACC 채택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비정상 현금흐름 → 복수 IRR / NPV가 최선인 이유(재투자율 가정)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NPV Profile 교차 이유(현금흐름 시점·규모 차이), crossover rate 의미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☐ </w:t>
      </w:r>
      <w:r>
        <w:rPr>
          <w:rFonts w:ascii="맑은 고딕" w:hAnsi="맑은 고딕" w:eastAsia="맑은 고딕"/>
          <w:sz w:val="21"/>
        </w:rPr>
        <w:t>회수기간법은 시간가치·이후 현금흐름 무시</w:t>
      </w:r>
    </w:p>
    <w:p>
      <w:pPr>
        <w:pBdr>
          <w:bottom w:val="single" w:sz="6" w:space="1" w:color="AAAAAA"/>
        </w:pBdr>
      </w:pPr>
    </w:p>
    <w:p>
      <w:r>
        <w:rPr>
          <w:rFonts w:ascii="맑은 고딕" w:hAnsi="맑은 고딕" w:eastAsia="맑은 고딕"/>
          <w:sz w:val="21"/>
        </w:rPr>
        <w:t>*본 요약은 첨부된 강의교안(Ch.5·8·9·10·11·12)과 강의계획서를 바탕으로 정리한 개념 정리본입니다. 계산문제는 첨부된 exercise/solution 파일로 별도 연습하세요.*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