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F6F4"/>
  <w:body>
    <w:p w14:paraId="4D81F45F" w14:textId="6B0DC1E2" w:rsidR="00E429F2" w:rsidRPr="00D75AE4" w:rsidRDefault="00F1266A" w:rsidP="00FF68A4">
      <w:pPr>
        <w:pStyle w:val="Ttulo1"/>
        <w:ind w:right="3"/>
        <w:rPr>
          <w:rFonts w:ascii="Nexa Heavy" w:hAnsi="Nexa Heavy"/>
          <w:color w:val="215868" w:themeColor="accent5" w:themeShade="80"/>
          <w:sz w:val="36"/>
          <w:szCs w:val="36"/>
        </w:rPr>
      </w:pPr>
      <w:r>
        <w:rPr>
          <w:rFonts w:ascii="Nexa Heavy" w:hAnsi="Nexa Heavy"/>
          <w:color w:val="215868" w:themeColor="accent5" w:themeShade="80"/>
          <w:sz w:val="36"/>
          <w:szCs w:val="36"/>
        </w:rPr>
        <w:t>Special Session</w:t>
      </w:r>
    </w:p>
    <w:p w14:paraId="2DD6EE77" w14:textId="77777777" w:rsidR="00FA2D3C" w:rsidRDefault="00FA2D3C" w:rsidP="00FF68A4">
      <w:pPr>
        <w:ind w:left="8" w:right="6"/>
        <w:jc w:val="center"/>
        <w:rPr>
          <w:rFonts w:ascii="Nexa Heavy" w:hAnsi="Nexa Heavy"/>
          <w:b/>
          <w:sz w:val="24"/>
          <w:szCs w:val="24"/>
        </w:rPr>
      </w:pPr>
    </w:p>
    <w:p w14:paraId="56F935E3" w14:textId="006C3297" w:rsidR="0080404D" w:rsidRPr="00F1266A" w:rsidRDefault="003972C4" w:rsidP="00F1266A">
      <w:pPr>
        <w:ind w:left="8" w:right="6"/>
        <w:jc w:val="center"/>
        <w:rPr>
          <w:rFonts w:ascii="NexaRegular" w:hAnsi="NexaRegular"/>
          <w:color w:val="215868" w:themeColor="accent5" w:themeShade="80"/>
          <w:sz w:val="21"/>
          <w:szCs w:val="21"/>
        </w:rPr>
      </w:pPr>
      <w:r w:rsidRPr="00ED0FF3">
        <w:rPr>
          <w:rFonts w:ascii="Nexa Heavy" w:hAnsi="Nexa Heavy"/>
          <w:b/>
          <w:sz w:val="24"/>
          <w:szCs w:val="24"/>
        </w:rPr>
        <w:t>SPECIAL</w:t>
      </w:r>
      <w:r w:rsidRPr="00ED0FF3">
        <w:rPr>
          <w:rFonts w:ascii="Nexa Heavy" w:hAnsi="Nexa Heavy"/>
          <w:b/>
          <w:spacing w:val="-10"/>
          <w:sz w:val="24"/>
          <w:szCs w:val="24"/>
        </w:rPr>
        <w:t xml:space="preserve"> </w:t>
      </w:r>
      <w:r w:rsidR="0080404D">
        <w:rPr>
          <w:rFonts w:ascii="Nexa Heavy" w:hAnsi="Nexa Heavy"/>
          <w:b/>
          <w:sz w:val="24"/>
          <w:szCs w:val="24"/>
        </w:rPr>
        <w:t>SESSION</w:t>
      </w:r>
      <w:r w:rsidRPr="00ED0FF3">
        <w:rPr>
          <w:rFonts w:ascii="Nexa Heavy" w:hAnsi="Nexa Heavy"/>
          <w:b/>
          <w:sz w:val="24"/>
          <w:szCs w:val="24"/>
        </w:rPr>
        <w:t>:</w:t>
      </w:r>
      <w:r w:rsidRPr="00ED0FF3">
        <w:rPr>
          <w:rFonts w:ascii="Nexa Heavy" w:hAnsi="Nexa Heavy"/>
          <w:b/>
          <w:spacing w:val="-7"/>
          <w:sz w:val="24"/>
          <w:szCs w:val="24"/>
        </w:rPr>
        <w:t xml:space="preserve"> </w:t>
      </w:r>
      <w:r w:rsidR="0080404D" w:rsidRPr="0080404D">
        <w:rPr>
          <w:rFonts w:ascii="NexaRegular" w:hAnsi="NexaRegular"/>
          <w:color w:val="215868" w:themeColor="accent5" w:themeShade="80"/>
          <w:sz w:val="21"/>
          <w:szCs w:val="21"/>
        </w:rPr>
        <w:t>“</w:t>
      </w:r>
      <w:r w:rsidR="00746CBE" w:rsidRPr="00746CBE">
        <w:rPr>
          <w:rFonts w:ascii="NexaRegular" w:hAnsi="NexaRegular"/>
          <w:color w:val="215868" w:themeColor="accent5" w:themeShade="80"/>
          <w:sz w:val="21"/>
          <w:szCs w:val="21"/>
        </w:rPr>
        <w:t>VALUE CREATION IN THE SOCIO</w:t>
      </w:r>
      <w:r w:rsidR="00746CBE">
        <w:rPr>
          <w:rFonts w:ascii="NexaRegular" w:hAnsi="NexaRegular"/>
          <w:color w:val="215868" w:themeColor="accent5" w:themeShade="80"/>
          <w:sz w:val="21"/>
          <w:szCs w:val="21"/>
        </w:rPr>
        <w:t>-</w:t>
      </w:r>
      <w:r w:rsidR="00746CBE" w:rsidRPr="00746CBE">
        <w:rPr>
          <w:rFonts w:ascii="NexaRegular" w:hAnsi="NexaRegular"/>
          <w:color w:val="215868" w:themeColor="accent5" w:themeShade="80"/>
          <w:sz w:val="21"/>
          <w:szCs w:val="21"/>
        </w:rPr>
        <w:t>BIOECONOMY IN THE AMAZON</w:t>
      </w:r>
      <w:r w:rsidR="005D56F2">
        <w:rPr>
          <w:rFonts w:ascii="NexaRegular" w:hAnsi="NexaRegular"/>
          <w:color w:val="215868" w:themeColor="accent5" w:themeShade="80"/>
          <w:sz w:val="21"/>
          <w:szCs w:val="21"/>
        </w:rPr>
        <w:t xml:space="preserve"> REGION</w:t>
      </w:r>
      <w:r w:rsidR="00746CBE" w:rsidRPr="00746CBE">
        <w:rPr>
          <w:rFonts w:ascii="NexaRegular" w:hAnsi="NexaRegular"/>
          <w:color w:val="215868" w:themeColor="accent5" w:themeShade="80"/>
          <w:sz w:val="21"/>
          <w:szCs w:val="21"/>
        </w:rPr>
        <w:t>: INTEGRATING TRADITION, INNOVATION AND ENVIRONMENTAL SERVICES</w:t>
      </w:r>
      <w:r w:rsidR="0080404D" w:rsidRPr="0080404D">
        <w:rPr>
          <w:rFonts w:ascii="NexaRegular" w:hAnsi="NexaRegular"/>
          <w:color w:val="215868" w:themeColor="accent5" w:themeShade="80"/>
          <w:sz w:val="21"/>
          <w:szCs w:val="21"/>
        </w:rPr>
        <w:t>”</w:t>
      </w:r>
    </w:p>
    <w:p w14:paraId="38EDBB05" w14:textId="77777777" w:rsidR="00FA2D3C" w:rsidRDefault="00FA2D3C" w:rsidP="00FF68A4">
      <w:pPr>
        <w:pStyle w:val="Ttulo1"/>
        <w:ind w:right="8"/>
        <w:rPr>
          <w:rFonts w:ascii="Nexa Heavy" w:hAnsi="Nexa Heavy"/>
          <w:sz w:val="24"/>
          <w:szCs w:val="24"/>
        </w:rPr>
      </w:pPr>
    </w:p>
    <w:p w14:paraId="7B6E48D8" w14:textId="29870F58" w:rsidR="00FF68A4" w:rsidRDefault="00FF68A4" w:rsidP="00FF68A4">
      <w:pPr>
        <w:pStyle w:val="Corpodetexto"/>
        <w:rPr>
          <w:rFonts w:ascii="NexaRegular" w:hAnsi="NexaRegular"/>
          <w:color w:val="215868" w:themeColor="accent5" w:themeShade="80"/>
          <w:spacing w:val="-6"/>
          <w:sz w:val="24"/>
          <w:szCs w:val="24"/>
        </w:rPr>
      </w:pPr>
      <w:r>
        <w:rPr>
          <w:rFonts w:ascii="NexaRegular" w:hAnsi="NexaRegular"/>
          <w:color w:val="215868" w:themeColor="accent5" w:themeShade="80"/>
          <w:spacing w:val="-6"/>
          <w:sz w:val="24"/>
          <w:szCs w:val="24"/>
        </w:rPr>
        <w:t>RELEVANCE OF THE TOPIC</w:t>
      </w:r>
    </w:p>
    <w:p w14:paraId="3B7FF857" w14:textId="77777777" w:rsidR="00FA2DFF" w:rsidRPr="00FA2DFF" w:rsidRDefault="00FA2DFF" w:rsidP="00FA2DFF">
      <w:pPr>
        <w:pStyle w:val="Corpodetexto"/>
        <w:rPr>
          <w:rFonts w:ascii="NexaRegular" w:hAnsi="NexaRegular"/>
          <w:color w:val="215868" w:themeColor="accent5" w:themeShade="80"/>
          <w:spacing w:val="-6"/>
          <w:sz w:val="24"/>
          <w:szCs w:val="24"/>
        </w:rPr>
      </w:pPr>
    </w:p>
    <w:p w14:paraId="4132B9D9" w14:textId="541B4F3B" w:rsidR="00FF68A4" w:rsidRPr="00FF68A4" w:rsidRDefault="00FA2DFF" w:rsidP="00FA2DFF">
      <w:pPr>
        <w:pStyle w:val="Corpodetexto"/>
        <w:rPr>
          <w:rFonts w:ascii="NexaRegular" w:hAnsi="NexaRegular"/>
          <w:color w:val="215868" w:themeColor="accent5" w:themeShade="80"/>
          <w:spacing w:val="-6"/>
          <w:sz w:val="24"/>
          <w:szCs w:val="24"/>
        </w:rPr>
      </w:pPr>
      <w:r w:rsidRPr="00FA2DFF">
        <w:rPr>
          <w:rFonts w:ascii="NexaRegular" w:hAnsi="NexaRegular"/>
          <w:color w:val="215868" w:themeColor="accent5" w:themeShade="80"/>
          <w:spacing w:val="-6"/>
          <w:sz w:val="24"/>
          <w:szCs w:val="24"/>
        </w:rPr>
        <w:t xml:space="preserve">This </w:t>
      </w:r>
      <w:r w:rsidR="00C52D5B">
        <w:rPr>
          <w:rFonts w:ascii="NexaRegular" w:hAnsi="NexaRegular"/>
          <w:color w:val="215868" w:themeColor="accent5" w:themeShade="80"/>
          <w:spacing w:val="-6"/>
          <w:sz w:val="24"/>
          <w:szCs w:val="24"/>
        </w:rPr>
        <w:t>session</w:t>
      </w:r>
      <w:r w:rsidRPr="00FA2DFF">
        <w:rPr>
          <w:rFonts w:ascii="NexaRegular" w:hAnsi="NexaRegular"/>
          <w:color w:val="215868" w:themeColor="accent5" w:themeShade="80"/>
          <w:spacing w:val="-6"/>
          <w:sz w:val="24"/>
          <w:szCs w:val="24"/>
        </w:rPr>
        <w:t xml:space="preserve"> aims to provide experiences and knowledge exchange on value creation for businesses of traditional peoples and communities (TPCs) (usually cooperatives) through the sustainable exploration of the socio-bioeconomy in the Amazon region. TPCs are keepers of traditional knowledge and practices and should be valued not only as guardians of the forest but also as disseminators of knowledge that can help mitigate climate change and environmental destruction. In this context, we propose to discuss factors that not only add value to their community businesses but also ensure that this value remains within the territory. To achieve this, we will address three key issues: alliances for innovation, payment for environmental services, and sustainable productive chains.</w:t>
      </w:r>
    </w:p>
    <w:p w14:paraId="642A2A26" w14:textId="77777777" w:rsidR="00FA2D3C" w:rsidRDefault="00FA2D3C" w:rsidP="00FF68A4">
      <w:pPr>
        <w:pStyle w:val="Corpodetexto"/>
        <w:ind w:right="106"/>
        <w:rPr>
          <w:rFonts w:ascii="NexaRegular" w:hAnsi="NexaRegular"/>
          <w:color w:val="215868" w:themeColor="accent5" w:themeShade="80"/>
        </w:rPr>
      </w:pPr>
    </w:p>
    <w:p w14:paraId="10EA35F4" w14:textId="4DF8FDB7" w:rsidR="00FF68A4" w:rsidRDefault="00FF68A4" w:rsidP="00FF68A4">
      <w:pPr>
        <w:pStyle w:val="Corpodetexto"/>
        <w:ind w:right="106"/>
        <w:rPr>
          <w:rFonts w:ascii="NexaRegular" w:hAnsi="NexaRegular"/>
          <w:color w:val="215868" w:themeColor="accent5" w:themeShade="80"/>
        </w:rPr>
      </w:pPr>
      <w:r>
        <w:rPr>
          <w:rFonts w:ascii="NexaRegular" w:hAnsi="NexaRegular"/>
          <w:color w:val="215868" w:themeColor="accent5" w:themeShade="80"/>
        </w:rPr>
        <w:t xml:space="preserve">THEORETICAL FRAMEWORK OF THE TOPIC </w:t>
      </w:r>
    </w:p>
    <w:p w14:paraId="365FD719" w14:textId="77777777" w:rsidR="00FA2DFF" w:rsidRPr="00FA2DFF" w:rsidRDefault="00FA2DFF" w:rsidP="00FA2DFF">
      <w:pPr>
        <w:pStyle w:val="Corpodetexto"/>
        <w:rPr>
          <w:rFonts w:ascii="NexaRegular" w:hAnsi="NexaRegular"/>
          <w:color w:val="215868" w:themeColor="accent5" w:themeShade="80"/>
        </w:rPr>
      </w:pPr>
      <w:r w:rsidRPr="00FA2DFF">
        <w:rPr>
          <w:rFonts w:ascii="NexaRegular" w:hAnsi="NexaRegular"/>
          <w:color w:val="215868" w:themeColor="accent5" w:themeShade="80"/>
        </w:rPr>
        <w:t>The Amazon region is made up of a unique biodiversity, which has been shaped for millennia by human action (</w:t>
      </w:r>
      <w:proofErr w:type="spellStart"/>
      <w:r w:rsidRPr="00FA2DFF">
        <w:rPr>
          <w:rFonts w:ascii="NexaRegular" w:hAnsi="NexaRegular"/>
          <w:color w:val="215868" w:themeColor="accent5" w:themeShade="80"/>
        </w:rPr>
        <w:t>Maezumi</w:t>
      </w:r>
      <w:proofErr w:type="spellEnd"/>
      <w:r w:rsidRPr="00FA2DFF">
        <w:rPr>
          <w:rFonts w:ascii="NexaRegular" w:hAnsi="NexaRegular"/>
          <w:color w:val="215868" w:themeColor="accent5" w:themeShade="80"/>
        </w:rPr>
        <w:t xml:space="preserve"> et al.; 2018; </w:t>
      </w:r>
      <w:proofErr w:type="spellStart"/>
      <w:r w:rsidRPr="00FA2DFF">
        <w:rPr>
          <w:rFonts w:ascii="NexaRegular" w:hAnsi="NexaRegular"/>
          <w:color w:val="215868" w:themeColor="accent5" w:themeShade="80"/>
        </w:rPr>
        <w:t>Levis</w:t>
      </w:r>
      <w:proofErr w:type="spellEnd"/>
      <w:r w:rsidRPr="00FA2DFF">
        <w:rPr>
          <w:rFonts w:ascii="NexaRegular" w:hAnsi="NexaRegular"/>
          <w:color w:val="215868" w:themeColor="accent5" w:themeShade="80"/>
        </w:rPr>
        <w:t xml:space="preserve"> et al. 2018), making biological diversity inseparable from social, cultural and economic dimensions (</w:t>
      </w:r>
      <w:proofErr w:type="spellStart"/>
      <w:r w:rsidRPr="00FA2DFF">
        <w:rPr>
          <w:rFonts w:ascii="NexaRegular" w:hAnsi="NexaRegular"/>
          <w:color w:val="215868" w:themeColor="accent5" w:themeShade="80"/>
        </w:rPr>
        <w:t>sociobiodiversity</w:t>
      </w:r>
      <w:proofErr w:type="spellEnd"/>
      <w:r w:rsidRPr="00FA2DFF">
        <w:rPr>
          <w:rFonts w:ascii="NexaRegular" w:hAnsi="NexaRegular"/>
          <w:color w:val="215868" w:themeColor="accent5" w:themeShade="80"/>
        </w:rPr>
        <w:t xml:space="preserve">). In the Brazilian Amazon economic exploitation of </w:t>
      </w:r>
      <w:proofErr w:type="spellStart"/>
      <w:r w:rsidRPr="00FA2DFF">
        <w:rPr>
          <w:rFonts w:ascii="NexaRegular" w:hAnsi="NexaRegular"/>
          <w:color w:val="215868" w:themeColor="accent5" w:themeShade="80"/>
        </w:rPr>
        <w:t>sociobiodiversity</w:t>
      </w:r>
      <w:proofErr w:type="spellEnd"/>
      <w:r w:rsidRPr="00FA2DFF">
        <w:rPr>
          <w:rFonts w:ascii="NexaRegular" w:hAnsi="NexaRegular"/>
          <w:color w:val="215868" w:themeColor="accent5" w:themeShade="80"/>
        </w:rPr>
        <w:t xml:space="preserve"> has been characterized by the commercialization of native products) through traditional (and sustainable) </w:t>
      </w:r>
      <w:proofErr w:type="spellStart"/>
      <w:r w:rsidRPr="00FA2DFF">
        <w:rPr>
          <w:rFonts w:ascii="NexaRegular" w:hAnsi="NexaRegular"/>
          <w:color w:val="215868" w:themeColor="accent5" w:themeShade="80"/>
        </w:rPr>
        <w:t>agro</w:t>
      </w:r>
      <w:proofErr w:type="spellEnd"/>
      <w:r w:rsidRPr="00FA2DFF">
        <w:rPr>
          <w:rFonts w:ascii="NexaRegular" w:hAnsi="NexaRegular"/>
          <w:color w:val="215868" w:themeColor="accent5" w:themeShade="80"/>
        </w:rPr>
        <w:t xml:space="preserve">-extractive activities. These activities are based on traditional knowledge passed down through generations (Garnett et al., 2018), and are carried out by traditional peoples and communities (TCP), mainly represented by indigenous peoples, </w:t>
      </w:r>
      <w:proofErr w:type="spellStart"/>
      <w:r w:rsidRPr="00FA2DFF">
        <w:rPr>
          <w:rFonts w:ascii="NexaRegular" w:hAnsi="NexaRegular"/>
          <w:color w:val="215868" w:themeColor="accent5" w:themeShade="80"/>
        </w:rPr>
        <w:t>quilombolas</w:t>
      </w:r>
      <w:proofErr w:type="spellEnd"/>
      <w:r w:rsidRPr="00FA2DFF">
        <w:rPr>
          <w:rFonts w:ascii="NexaRegular" w:hAnsi="NexaRegular"/>
          <w:color w:val="215868" w:themeColor="accent5" w:themeShade="80"/>
        </w:rPr>
        <w:t>, riverside communities and those who reside in the forests (</w:t>
      </w:r>
      <w:proofErr w:type="spellStart"/>
      <w:r w:rsidRPr="00FA2DFF">
        <w:rPr>
          <w:rFonts w:ascii="NexaRegular" w:hAnsi="NexaRegular"/>
          <w:color w:val="215868" w:themeColor="accent5" w:themeShade="80"/>
        </w:rPr>
        <w:t>Nhemb</w:t>
      </w:r>
      <w:proofErr w:type="spellEnd"/>
      <w:r w:rsidRPr="00FA2DFF">
        <w:rPr>
          <w:rFonts w:ascii="NexaRegular" w:hAnsi="NexaRegular"/>
          <w:color w:val="215868" w:themeColor="accent5" w:themeShade="80"/>
        </w:rPr>
        <w:t xml:space="preserve"> et al., 2017).</w:t>
      </w:r>
    </w:p>
    <w:p w14:paraId="15CBA6BD" w14:textId="5F9A6E0A" w:rsidR="00FA2DFF" w:rsidRPr="00FA2DFF" w:rsidRDefault="00FA2DFF" w:rsidP="00FA2DFF">
      <w:pPr>
        <w:pStyle w:val="Corpodetexto"/>
        <w:rPr>
          <w:rFonts w:ascii="NexaRegular" w:hAnsi="NexaRegular"/>
          <w:color w:val="215868" w:themeColor="accent5" w:themeShade="80"/>
        </w:rPr>
      </w:pPr>
      <w:r w:rsidRPr="00FA2DFF">
        <w:rPr>
          <w:rFonts w:ascii="NexaRegular" w:hAnsi="NexaRegular"/>
          <w:color w:val="215868" w:themeColor="accent5" w:themeShade="80"/>
        </w:rPr>
        <w:t>Although the Amazon's natural resources have been consistently exploited as raw materials for the manufacturing, food, pharmaceutical, and cosmetics industries (De Souza et al., 2022), the perpetuation of poverty among traditional communities remains persistent (Santana, 2022).</w:t>
      </w:r>
      <w:r>
        <w:rPr>
          <w:rFonts w:ascii="NexaRegular" w:hAnsi="NexaRegular"/>
          <w:color w:val="215868" w:themeColor="accent5" w:themeShade="80"/>
        </w:rPr>
        <w:t xml:space="preserve"> </w:t>
      </w:r>
      <w:r w:rsidRPr="00FA2DFF">
        <w:rPr>
          <w:rFonts w:ascii="NexaRegular" w:hAnsi="NexaRegular"/>
          <w:color w:val="215868" w:themeColor="accent5" w:themeShade="80"/>
        </w:rPr>
        <w:t>It caused by factors as the lack of collective organization, informality in the production chain, low level of innovation and inadequate public policies (</w:t>
      </w:r>
      <w:proofErr w:type="spellStart"/>
      <w:r w:rsidRPr="00FA2DFF">
        <w:rPr>
          <w:rFonts w:ascii="NexaRegular" w:hAnsi="NexaRegular"/>
          <w:color w:val="215868" w:themeColor="accent5" w:themeShade="80"/>
        </w:rPr>
        <w:t>Bachi</w:t>
      </w:r>
      <w:proofErr w:type="spellEnd"/>
      <w:r w:rsidRPr="00FA2DFF">
        <w:rPr>
          <w:rFonts w:ascii="NexaRegular" w:hAnsi="NexaRegular"/>
          <w:color w:val="215868" w:themeColor="accent5" w:themeShade="80"/>
        </w:rPr>
        <w:t xml:space="preserve"> &amp; Ribeiro, 2023).</w:t>
      </w:r>
    </w:p>
    <w:p w14:paraId="40C84D2B" w14:textId="38FBB6E4" w:rsidR="00FA2DFF" w:rsidRPr="00FA2DFF" w:rsidRDefault="00FA2DFF" w:rsidP="00FA2DFF">
      <w:pPr>
        <w:pStyle w:val="Corpodetexto"/>
        <w:rPr>
          <w:rFonts w:ascii="NexaRegular" w:hAnsi="NexaRegular"/>
          <w:color w:val="215868" w:themeColor="accent5" w:themeShade="80"/>
        </w:rPr>
      </w:pPr>
      <w:r w:rsidRPr="00FA2DFF">
        <w:rPr>
          <w:rFonts w:ascii="NexaRegular" w:hAnsi="NexaRegular"/>
          <w:color w:val="215868" w:themeColor="accent5" w:themeShade="80"/>
        </w:rPr>
        <w:t xml:space="preserve">It is therefore necessary to promote productive inclusion of local people that respect their social organization systems and, at the same time, value local natural resources, practices, knowledge and traditional technologies to obtain social gains. At the same time, it is necessary to discuss (or implement) strategies to stimulate markets that value </w:t>
      </w:r>
      <w:proofErr w:type="spellStart"/>
      <w:r w:rsidRPr="00FA2DFF">
        <w:rPr>
          <w:rFonts w:ascii="NexaRegular" w:hAnsi="NexaRegular"/>
          <w:color w:val="215868" w:themeColor="accent5" w:themeShade="80"/>
        </w:rPr>
        <w:t>sociobiodiversity</w:t>
      </w:r>
      <w:proofErr w:type="spellEnd"/>
      <w:r w:rsidRPr="00FA2DFF">
        <w:rPr>
          <w:rFonts w:ascii="NexaRegular" w:hAnsi="NexaRegular"/>
          <w:color w:val="215868" w:themeColor="accent5" w:themeShade="80"/>
        </w:rPr>
        <w:t xml:space="preserve"> products </w:t>
      </w:r>
      <w:r w:rsidR="006359F4">
        <w:rPr>
          <w:rFonts w:ascii="NexaRegular" w:hAnsi="NexaRegular"/>
          <w:color w:val="215868" w:themeColor="accent5" w:themeShade="80"/>
        </w:rPr>
        <w:t xml:space="preserve">(socio-bioeconomy) </w:t>
      </w:r>
      <w:r w:rsidRPr="00FA2DFF">
        <w:rPr>
          <w:rFonts w:ascii="NexaRegular" w:hAnsi="NexaRegular"/>
          <w:color w:val="215868" w:themeColor="accent5" w:themeShade="80"/>
        </w:rPr>
        <w:t>through sustainable and inclusive value chains (Costa et al., 2022). With this, PCTs are expected to produce based on low-impact techniques and committed to maintaining or recovering control of the territory they explore, providing an environmental service to the ecosystem (Cunha &amp; Almeida, 2000).</w:t>
      </w:r>
    </w:p>
    <w:p w14:paraId="5F45406A" w14:textId="77777777" w:rsidR="00FA2DFF" w:rsidRPr="00FA2DFF" w:rsidRDefault="00FA2DFF" w:rsidP="00FA2DFF">
      <w:pPr>
        <w:pStyle w:val="Corpodetexto"/>
        <w:rPr>
          <w:rFonts w:ascii="NexaRegular" w:hAnsi="NexaRegular"/>
          <w:color w:val="215868" w:themeColor="accent5" w:themeShade="80"/>
        </w:rPr>
      </w:pPr>
      <w:r w:rsidRPr="00FA2DFF">
        <w:rPr>
          <w:rFonts w:ascii="NexaRegular" w:hAnsi="NexaRegular"/>
          <w:color w:val="215868" w:themeColor="accent5" w:themeShade="80"/>
        </w:rPr>
        <w:t xml:space="preserve">Sustainable production practices for income generation are associated with the management of natural resources and </w:t>
      </w:r>
      <w:proofErr w:type="spellStart"/>
      <w:r w:rsidRPr="00FA2DFF">
        <w:rPr>
          <w:rFonts w:ascii="NexaRegular" w:hAnsi="NexaRegular"/>
          <w:color w:val="215868" w:themeColor="accent5" w:themeShade="80"/>
        </w:rPr>
        <w:t>agro</w:t>
      </w:r>
      <w:proofErr w:type="spellEnd"/>
      <w:r w:rsidRPr="00FA2DFF">
        <w:rPr>
          <w:rFonts w:ascii="NexaRegular" w:hAnsi="NexaRegular"/>
          <w:color w:val="215868" w:themeColor="accent5" w:themeShade="80"/>
        </w:rPr>
        <w:t>-extractive production, enabling the commercialization of raw materials derived from the forest (</w:t>
      </w:r>
      <w:proofErr w:type="spellStart"/>
      <w:proofErr w:type="gramStart"/>
      <w:r w:rsidRPr="00FA2DFF">
        <w:rPr>
          <w:rFonts w:ascii="NexaRegular" w:hAnsi="NexaRegular"/>
          <w:color w:val="215868" w:themeColor="accent5" w:themeShade="80"/>
        </w:rPr>
        <w:t>Morsello</w:t>
      </w:r>
      <w:proofErr w:type="spellEnd"/>
      <w:r w:rsidRPr="00FA2DFF">
        <w:rPr>
          <w:rFonts w:ascii="NexaRegular" w:hAnsi="NexaRegular"/>
          <w:color w:val="215868" w:themeColor="accent5" w:themeShade="80"/>
        </w:rPr>
        <w:t xml:space="preserve"> ,</w:t>
      </w:r>
      <w:proofErr w:type="gramEnd"/>
      <w:r w:rsidRPr="00FA2DFF">
        <w:rPr>
          <w:rFonts w:ascii="NexaRegular" w:hAnsi="NexaRegular"/>
          <w:color w:val="215868" w:themeColor="accent5" w:themeShade="80"/>
        </w:rPr>
        <w:t xml:space="preserve"> 2006). To this end, businesses are created in the community (and by the community) and generally have social and environmental purposes simultaneously, with initiatives that aim to generate income. To achieve these objectives, it is common for them to organize themselves into cooperatives, in which internal relationships (between producers, communities and cooperatives/associations) and external partnerships can promote community businesses. Furthermore, they are inserted in economically competitive environments and establish strategic partnerships with various purposes, including innovating and complementing their organizational capabilities.</w:t>
      </w:r>
    </w:p>
    <w:p w14:paraId="19BB26D2" w14:textId="2BA41016" w:rsidR="00A44EA1" w:rsidRDefault="00A44EA1" w:rsidP="00FA2DFF">
      <w:pPr>
        <w:pStyle w:val="Corpodetexto"/>
        <w:rPr>
          <w:rFonts w:ascii="NexaRegular" w:hAnsi="NexaRegular"/>
          <w:color w:val="215868" w:themeColor="accent5" w:themeShade="80"/>
        </w:rPr>
      </w:pPr>
      <w:r w:rsidRPr="00A44EA1">
        <w:rPr>
          <w:rFonts w:ascii="NexaRegular" w:hAnsi="NexaRegular"/>
          <w:color w:val="215868" w:themeColor="accent5" w:themeShade="80"/>
        </w:rPr>
        <w:t>Thus, we propose a discussion on the challenges and opportunities of this business model, created and led by TPCs, addressing value creation through socio</w:t>
      </w:r>
      <w:r w:rsidR="006359F4">
        <w:rPr>
          <w:rFonts w:ascii="NexaRegular" w:hAnsi="NexaRegular"/>
          <w:color w:val="215868" w:themeColor="accent5" w:themeShade="80"/>
        </w:rPr>
        <w:t>-</w:t>
      </w:r>
      <w:r w:rsidRPr="00A44EA1">
        <w:rPr>
          <w:rFonts w:ascii="NexaRegular" w:hAnsi="NexaRegular"/>
          <w:color w:val="215868" w:themeColor="accent5" w:themeShade="80"/>
        </w:rPr>
        <w:t>bioeconomy: partnerships for innovation and differentiation (Simone Galina)</w:t>
      </w:r>
      <w:r>
        <w:rPr>
          <w:rFonts w:ascii="NexaRegular" w:hAnsi="NexaRegular"/>
          <w:color w:val="215868" w:themeColor="accent5" w:themeShade="80"/>
        </w:rPr>
        <w:t xml:space="preserve">; payment for </w:t>
      </w:r>
      <w:r w:rsidRPr="00A44EA1">
        <w:rPr>
          <w:rFonts w:ascii="NexaRegular" w:hAnsi="NexaRegular"/>
          <w:color w:val="215868" w:themeColor="accent5" w:themeShade="80"/>
        </w:rPr>
        <w:t>environmental services (</w:t>
      </w:r>
      <w:proofErr w:type="spellStart"/>
      <w:r w:rsidRPr="00A44EA1">
        <w:rPr>
          <w:rFonts w:ascii="NexaRegular" w:hAnsi="NexaRegular"/>
          <w:color w:val="215868" w:themeColor="accent5" w:themeShade="80"/>
        </w:rPr>
        <w:t>Sérgio</w:t>
      </w:r>
      <w:proofErr w:type="spellEnd"/>
      <w:r w:rsidRPr="00A44EA1">
        <w:rPr>
          <w:rFonts w:ascii="NexaRegular" w:hAnsi="NexaRegular"/>
          <w:color w:val="215868" w:themeColor="accent5" w:themeShade="80"/>
        </w:rPr>
        <w:t xml:space="preserve"> Gomes)</w:t>
      </w:r>
      <w:r>
        <w:rPr>
          <w:rFonts w:ascii="NexaRegular" w:hAnsi="NexaRegular"/>
          <w:color w:val="215868" w:themeColor="accent5" w:themeShade="80"/>
        </w:rPr>
        <w:t>; participation in productive chain</w:t>
      </w:r>
      <w:r w:rsidRPr="00A44EA1">
        <w:rPr>
          <w:rFonts w:ascii="NexaRegular" w:hAnsi="NexaRegular"/>
          <w:color w:val="215868" w:themeColor="accent5" w:themeShade="80"/>
        </w:rPr>
        <w:t xml:space="preserve">. These topics will be further explored through the presentation of a real case from the </w:t>
      </w:r>
      <w:proofErr w:type="spellStart"/>
      <w:r w:rsidRPr="00A44EA1">
        <w:rPr>
          <w:rFonts w:ascii="NexaRegular" w:hAnsi="NexaRegular"/>
          <w:color w:val="215868" w:themeColor="accent5" w:themeShade="80"/>
        </w:rPr>
        <w:t>CoFruta</w:t>
      </w:r>
      <w:proofErr w:type="spellEnd"/>
      <w:r w:rsidRPr="00A44EA1">
        <w:rPr>
          <w:rFonts w:ascii="NexaRegular" w:hAnsi="NexaRegular"/>
          <w:color w:val="215868" w:themeColor="accent5" w:themeShade="80"/>
        </w:rPr>
        <w:t xml:space="preserve"> Cooperative, located in the Northeast region of Pará (</w:t>
      </w:r>
      <w:proofErr w:type="spellStart"/>
      <w:r w:rsidRPr="00A44EA1">
        <w:rPr>
          <w:rFonts w:ascii="NexaRegular" w:hAnsi="NexaRegular"/>
          <w:color w:val="215868" w:themeColor="accent5" w:themeShade="80"/>
        </w:rPr>
        <w:t>Dan</w:t>
      </w:r>
      <w:r>
        <w:rPr>
          <w:rFonts w:ascii="NexaRegular" w:hAnsi="NexaRegular"/>
          <w:color w:val="215868" w:themeColor="accent5" w:themeShade="80"/>
        </w:rPr>
        <w:t>yll</w:t>
      </w:r>
      <w:r w:rsidRPr="00A44EA1">
        <w:rPr>
          <w:rFonts w:ascii="NexaRegular" w:hAnsi="NexaRegular"/>
          <w:color w:val="215868" w:themeColor="accent5" w:themeShade="80"/>
        </w:rPr>
        <w:t>a</w:t>
      </w:r>
      <w:proofErr w:type="spellEnd"/>
      <w:r w:rsidRPr="00A44EA1">
        <w:rPr>
          <w:rFonts w:ascii="NexaRegular" w:hAnsi="NexaRegular"/>
          <w:color w:val="215868" w:themeColor="accent5" w:themeShade="80"/>
        </w:rPr>
        <w:t xml:space="preserve"> Silva).</w:t>
      </w:r>
    </w:p>
    <w:p w14:paraId="22B6A023" w14:textId="77777777" w:rsidR="00132D4D" w:rsidRDefault="00132D4D" w:rsidP="00FA2DFF">
      <w:pPr>
        <w:pStyle w:val="Corpodetexto"/>
        <w:rPr>
          <w:rFonts w:ascii="NexaRegular" w:hAnsi="NexaRegular"/>
          <w:color w:val="215868" w:themeColor="accent5" w:themeShade="80"/>
        </w:rPr>
      </w:pPr>
    </w:p>
    <w:p w14:paraId="4855D3D0" w14:textId="350806C8" w:rsidR="003C7E32" w:rsidRPr="003C7E32" w:rsidRDefault="003C7E32" w:rsidP="003C7E32">
      <w:pPr>
        <w:pStyle w:val="Corpodetexto"/>
        <w:rPr>
          <w:rFonts w:ascii="NexaRegular" w:hAnsi="NexaRegular"/>
          <w:color w:val="215868" w:themeColor="accent5" w:themeShade="80"/>
        </w:rPr>
      </w:pPr>
      <w:proofErr w:type="spellStart"/>
      <w:r w:rsidRPr="003C7E32">
        <w:rPr>
          <w:rFonts w:ascii="NexaRegular" w:hAnsi="NexaRegular"/>
          <w:color w:val="215868" w:themeColor="accent5" w:themeShade="80"/>
          <w:lang w:val="pt-BR"/>
        </w:rPr>
        <w:lastRenderedPageBreak/>
        <w:t>Bachi</w:t>
      </w:r>
      <w:proofErr w:type="spellEnd"/>
      <w:r w:rsidRPr="003C7E32">
        <w:rPr>
          <w:rFonts w:ascii="NexaRegular" w:hAnsi="NexaRegular"/>
          <w:color w:val="215868" w:themeColor="accent5" w:themeShade="80"/>
          <w:lang w:val="pt-BR"/>
        </w:rPr>
        <w:t xml:space="preserve">, L., &amp; Ribeiro, S. C. (2023). </w:t>
      </w:r>
      <w:r w:rsidRPr="003C7E32">
        <w:rPr>
          <w:rFonts w:ascii="NexaRegular" w:hAnsi="NexaRegular"/>
          <w:color w:val="215868" w:themeColor="accent5" w:themeShade="80"/>
        </w:rPr>
        <w:t xml:space="preserve">Where does ecotourism improve </w:t>
      </w:r>
      <w:proofErr w:type="spellStart"/>
      <w:r w:rsidRPr="003C7E32">
        <w:rPr>
          <w:rFonts w:ascii="NexaRegular" w:hAnsi="NexaRegular"/>
          <w:color w:val="215868" w:themeColor="accent5" w:themeShade="80"/>
        </w:rPr>
        <w:t>sociobiodiversity</w:t>
      </w:r>
      <w:proofErr w:type="spellEnd"/>
      <w:r w:rsidRPr="003C7E32">
        <w:rPr>
          <w:rFonts w:ascii="NexaRegular" w:hAnsi="NexaRegular"/>
          <w:color w:val="215868" w:themeColor="accent5" w:themeShade="80"/>
        </w:rPr>
        <w:t xml:space="preserve">? Mapping opportunities and limitations for the management of multifunctional land uses in Brazil. Brazilian Journal of Ecotourism </w:t>
      </w:r>
      <w:proofErr w:type="gramStart"/>
      <w:r w:rsidRPr="003C7E32">
        <w:rPr>
          <w:rFonts w:ascii="NexaRegular" w:hAnsi="NexaRegular"/>
          <w:color w:val="215868" w:themeColor="accent5" w:themeShade="80"/>
        </w:rPr>
        <w:t xml:space="preserve">( </w:t>
      </w:r>
      <w:proofErr w:type="spellStart"/>
      <w:r w:rsidRPr="003C7E32">
        <w:rPr>
          <w:rFonts w:ascii="NexaRegular" w:hAnsi="NexaRegular"/>
          <w:color w:val="215868" w:themeColor="accent5" w:themeShade="80"/>
        </w:rPr>
        <w:t>RBEcotur</w:t>
      </w:r>
      <w:proofErr w:type="spellEnd"/>
      <w:proofErr w:type="gramEnd"/>
      <w:r w:rsidRPr="003C7E32">
        <w:rPr>
          <w:rFonts w:ascii="NexaRegular" w:hAnsi="NexaRegular"/>
          <w:color w:val="215868" w:themeColor="accent5" w:themeShade="80"/>
        </w:rPr>
        <w:t xml:space="preserve"> ), 16(4). https://doi.org/10.34024/rbecotur.2023.v16.14796.</w:t>
      </w:r>
    </w:p>
    <w:p w14:paraId="1FABB3BF" w14:textId="77777777" w:rsidR="003C7E32" w:rsidRPr="003C7E32" w:rsidRDefault="003C7E32" w:rsidP="003C7E32">
      <w:pPr>
        <w:pStyle w:val="Corpodetexto"/>
        <w:rPr>
          <w:rFonts w:ascii="NexaRegular" w:hAnsi="NexaRegular"/>
          <w:color w:val="215868" w:themeColor="accent5" w:themeShade="80"/>
        </w:rPr>
      </w:pPr>
      <w:r w:rsidRPr="003C7E32">
        <w:rPr>
          <w:rFonts w:ascii="NexaRegular" w:hAnsi="NexaRegular"/>
          <w:color w:val="215868" w:themeColor="accent5" w:themeShade="80"/>
          <w:lang w:val="pt-BR"/>
        </w:rPr>
        <w:t xml:space="preserve">Costa, F. et al. </w:t>
      </w:r>
      <w:r w:rsidRPr="003C7E32">
        <w:rPr>
          <w:rFonts w:ascii="NexaRegular" w:hAnsi="NexaRegular"/>
          <w:color w:val="215868" w:themeColor="accent5" w:themeShade="80"/>
        </w:rPr>
        <w:t xml:space="preserve">Bioeconomy for the Amazon: concepts, limits, and trends for a proper definition of the tropical forest biome. Working Paper. São Paulo, </w:t>
      </w:r>
      <w:proofErr w:type="gramStart"/>
      <w:r w:rsidRPr="003C7E32">
        <w:rPr>
          <w:rFonts w:ascii="NexaRegular" w:hAnsi="NexaRegular"/>
          <w:color w:val="215868" w:themeColor="accent5" w:themeShade="80"/>
        </w:rPr>
        <w:t>Brazil :</w:t>
      </w:r>
      <w:proofErr w:type="gramEnd"/>
      <w:r w:rsidRPr="003C7E32">
        <w:rPr>
          <w:rFonts w:ascii="NexaRegular" w:hAnsi="NexaRegular"/>
          <w:color w:val="215868" w:themeColor="accent5" w:themeShade="80"/>
        </w:rPr>
        <w:t xml:space="preserve"> WRI </w:t>
      </w:r>
      <w:proofErr w:type="spellStart"/>
      <w:r w:rsidRPr="003C7E32">
        <w:rPr>
          <w:rFonts w:ascii="NexaRegular" w:hAnsi="NexaRegular"/>
          <w:color w:val="215868" w:themeColor="accent5" w:themeShade="80"/>
        </w:rPr>
        <w:t>Brasil</w:t>
      </w:r>
      <w:proofErr w:type="spellEnd"/>
      <w:r w:rsidRPr="003C7E32">
        <w:rPr>
          <w:rFonts w:ascii="NexaRegular" w:hAnsi="NexaRegular"/>
          <w:color w:val="215868" w:themeColor="accent5" w:themeShade="80"/>
        </w:rPr>
        <w:t xml:space="preserve"> . 2022. Available online at: https://wribrasil. org. </w:t>
      </w:r>
      <w:proofErr w:type="spellStart"/>
      <w:r w:rsidRPr="003C7E32">
        <w:rPr>
          <w:rFonts w:ascii="NexaRegular" w:hAnsi="NexaRegular"/>
          <w:color w:val="215868" w:themeColor="accent5" w:themeShade="80"/>
        </w:rPr>
        <w:t>br</w:t>
      </w:r>
      <w:proofErr w:type="spellEnd"/>
      <w:r w:rsidRPr="003C7E32">
        <w:rPr>
          <w:rFonts w:ascii="NexaRegular" w:hAnsi="NexaRegular"/>
          <w:color w:val="215868" w:themeColor="accent5" w:themeShade="80"/>
        </w:rPr>
        <w:t xml:space="preserve"> /pt.</w:t>
      </w:r>
    </w:p>
    <w:p w14:paraId="191B706B" w14:textId="77777777" w:rsidR="003C7E32" w:rsidRPr="003C7E32" w:rsidRDefault="003C7E32" w:rsidP="003C7E32">
      <w:pPr>
        <w:pStyle w:val="Corpodetexto"/>
        <w:rPr>
          <w:rFonts w:ascii="NexaRegular" w:hAnsi="NexaRegular"/>
          <w:color w:val="215868" w:themeColor="accent5" w:themeShade="80"/>
        </w:rPr>
      </w:pPr>
      <w:r w:rsidRPr="003C7E32">
        <w:rPr>
          <w:rFonts w:ascii="NexaRegular" w:hAnsi="NexaRegular"/>
          <w:color w:val="215868" w:themeColor="accent5" w:themeShade="80"/>
          <w:lang w:val="pt-BR"/>
        </w:rPr>
        <w:t xml:space="preserve">Cunha, MCD, De Almeida, MW (2000). </w:t>
      </w:r>
      <w:r w:rsidRPr="003C7E32">
        <w:rPr>
          <w:rFonts w:ascii="NexaRegular" w:hAnsi="NexaRegular"/>
          <w:color w:val="215868" w:themeColor="accent5" w:themeShade="80"/>
        </w:rPr>
        <w:t>Indigenous people, traditional people, and conservation in the Amazon. Daedalus, 129(2), 315-338.</w:t>
      </w:r>
    </w:p>
    <w:p w14:paraId="4CB47E08" w14:textId="77777777" w:rsidR="003C7E32" w:rsidRPr="003C7E32" w:rsidRDefault="003C7E32" w:rsidP="003C7E32">
      <w:pPr>
        <w:pStyle w:val="Corpodetexto"/>
        <w:rPr>
          <w:rFonts w:ascii="NexaRegular" w:hAnsi="NexaRegular"/>
          <w:color w:val="215868" w:themeColor="accent5" w:themeShade="80"/>
        </w:rPr>
      </w:pPr>
      <w:r w:rsidRPr="003C7E32">
        <w:rPr>
          <w:rFonts w:ascii="NexaRegular" w:hAnsi="NexaRegular"/>
          <w:color w:val="215868" w:themeColor="accent5" w:themeShade="80"/>
        </w:rPr>
        <w:t xml:space="preserve">De Souza, RRC, Gomes, SC, &amp; Bahia, PQ (2022). Development of inclusive strategies in the value chain of extractive products: the case of </w:t>
      </w:r>
      <w:proofErr w:type="spellStart"/>
      <w:r w:rsidRPr="003C7E32">
        <w:rPr>
          <w:rFonts w:ascii="NexaRegular" w:hAnsi="NexaRegular"/>
          <w:color w:val="215868" w:themeColor="accent5" w:themeShade="80"/>
        </w:rPr>
        <w:t>Tucumã</w:t>
      </w:r>
      <w:proofErr w:type="spellEnd"/>
      <w:r w:rsidRPr="003C7E32">
        <w:rPr>
          <w:rFonts w:ascii="NexaRegular" w:hAnsi="NexaRegular"/>
          <w:color w:val="215868" w:themeColor="accent5" w:themeShade="80"/>
        </w:rPr>
        <w:t xml:space="preserve"> </w:t>
      </w:r>
      <w:proofErr w:type="gramStart"/>
      <w:r w:rsidRPr="003C7E32">
        <w:rPr>
          <w:rFonts w:ascii="NexaRegular" w:hAnsi="NexaRegular"/>
          <w:color w:val="215868" w:themeColor="accent5" w:themeShade="80"/>
        </w:rPr>
        <w:t xml:space="preserve">( </w:t>
      </w:r>
      <w:proofErr w:type="spellStart"/>
      <w:r w:rsidRPr="003C7E32">
        <w:rPr>
          <w:rFonts w:ascii="NexaRegular" w:hAnsi="NexaRegular"/>
          <w:color w:val="215868" w:themeColor="accent5" w:themeShade="80"/>
        </w:rPr>
        <w:t>Astrocaryum</w:t>
      </w:r>
      <w:proofErr w:type="spellEnd"/>
      <w:proofErr w:type="gramEnd"/>
      <w:r w:rsidRPr="003C7E32">
        <w:rPr>
          <w:rFonts w:ascii="NexaRegular" w:hAnsi="NexaRegular"/>
          <w:color w:val="215868" w:themeColor="accent5" w:themeShade="80"/>
        </w:rPr>
        <w:t xml:space="preserve"> Vulgare Mart.) negotiated by the </w:t>
      </w:r>
      <w:proofErr w:type="spellStart"/>
      <w:r w:rsidRPr="003C7E32">
        <w:rPr>
          <w:rFonts w:ascii="NexaRegular" w:hAnsi="NexaRegular"/>
          <w:color w:val="215868" w:themeColor="accent5" w:themeShade="80"/>
        </w:rPr>
        <w:t>D'Irituia</w:t>
      </w:r>
      <w:proofErr w:type="spellEnd"/>
      <w:r w:rsidRPr="003C7E32">
        <w:rPr>
          <w:rFonts w:ascii="NexaRegular" w:hAnsi="NexaRegular"/>
          <w:color w:val="215868" w:themeColor="accent5" w:themeShade="80"/>
        </w:rPr>
        <w:t xml:space="preserve"> cooperative with the cosmetics company. Management and Secretarial </w:t>
      </w:r>
      <w:proofErr w:type="gramStart"/>
      <w:r w:rsidRPr="003C7E32">
        <w:rPr>
          <w:rFonts w:ascii="NexaRegular" w:hAnsi="NexaRegular"/>
          <w:color w:val="215868" w:themeColor="accent5" w:themeShade="80"/>
        </w:rPr>
        <w:t>Journal ,</w:t>
      </w:r>
      <w:proofErr w:type="gramEnd"/>
      <w:r w:rsidRPr="003C7E32">
        <w:rPr>
          <w:rFonts w:ascii="NexaRegular" w:hAnsi="NexaRegular"/>
          <w:color w:val="215868" w:themeColor="accent5" w:themeShade="80"/>
        </w:rPr>
        <w:t xml:space="preserve"> 13 (3), 1512-1532.</w:t>
      </w:r>
    </w:p>
    <w:p w14:paraId="4353C57C" w14:textId="4EC34A59" w:rsidR="003C7E32" w:rsidRPr="003C7E32" w:rsidRDefault="003C7E32" w:rsidP="003C7E32">
      <w:pPr>
        <w:pStyle w:val="Corpodetexto"/>
        <w:rPr>
          <w:rFonts w:ascii="NexaRegular" w:hAnsi="NexaRegular"/>
          <w:color w:val="215868" w:themeColor="accent5" w:themeShade="80"/>
        </w:rPr>
      </w:pPr>
      <w:r w:rsidRPr="003C7E32">
        <w:rPr>
          <w:rFonts w:ascii="NexaRegular" w:hAnsi="NexaRegular"/>
          <w:color w:val="215868" w:themeColor="accent5" w:themeShade="80"/>
        </w:rPr>
        <w:t>Garnett, ST et al. A spatial overview of the global importance of Indigenous lands for conservation. Nat</w:t>
      </w:r>
      <w:r>
        <w:rPr>
          <w:rFonts w:ascii="NexaRegular" w:hAnsi="NexaRegular"/>
          <w:color w:val="215868" w:themeColor="accent5" w:themeShade="80"/>
        </w:rPr>
        <w:t>ure</w:t>
      </w:r>
      <w:r w:rsidRPr="003C7E32">
        <w:rPr>
          <w:rFonts w:ascii="NexaRegular" w:hAnsi="NexaRegular"/>
          <w:color w:val="215868" w:themeColor="accent5" w:themeShade="80"/>
        </w:rPr>
        <w:t xml:space="preserve"> Sustain. 1, 369–374 (2018).</w:t>
      </w:r>
    </w:p>
    <w:p w14:paraId="7FCBF1F2" w14:textId="77777777" w:rsidR="003C7E32" w:rsidRPr="003C7E32" w:rsidRDefault="003C7E32" w:rsidP="003C7E32">
      <w:pPr>
        <w:pStyle w:val="Corpodetexto"/>
        <w:rPr>
          <w:rFonts w:ascii="NexaRegular" w:hAnsi="NexaRegular"/>
          <w:color w:val="215868" w:themeColor="accent5" w:themeShade="80"/>
        </w:rPr>
      </w:pPr>
      <w:proofErr w:type="spellStart"/>
      <w:proofErr w:type="gramStart"/>
      <w:r w:rsidRPr="003C7E32">
        <w:rPr>
          <w:rFonts w:ascii="NexaRegular" w:hAnsi="NexaRegular"/>
          <w:color w:val="215868" w:themeColor="accent5" w:themeShade="80"/>
        </w:rPr>
        <w:t>Levis</w:t>
      </w:r>
      <w:proofErr w:type="spellEnd"/>
      <w:r w:rsidRPr="003C7E32">
        <w:rPr>
          <w:rFonts w:ascii="NexaRegular" w:hAnsi="NexaRegular"/>
          <w:color w:val="215868" w:themeColor="accent5" w:themeShade="80"/>
        </w:rPr>
        <w:t xml:space="preserve"> ,</w:t>
      </w:r>
      <w:proofErr w:type="gramEnd"/>
      <w:r w:rsidRPr="003C7E32">
        <w:rPr>
          <w:rFonts w:ascii="NexaRegular" w:hAnsi="NexaRegular"/>
          <w:color w:val="215868" w:themeColor="accent5" w:themeShade="80"/>
        </w:rPr>
        <w:t xml:space="preserve"> C. et al. (2018). How people domesticated Amazonian forests. Front. Ecol. </w:t>
      </w:r>
      <w:proofErr w:type="gramStart"/>
      <w:r w:rsidRPr="003C7E32">
        <w:rPr>
          <w:rFonts w:ascii="NexaRegular" w:hAnsi="NexaRegular"/>
          <w:color w:val="215868" w:themeColor="accent5" w:themeShade="80"/>
        </w:rPr>
        <w:t>Evolution .</w:t>
      </w:r>
      <w:proofErr w:type="gramEnd"/>
      <w:r w:rsidRPr="003C7E32">
        <w:rPr>
          <w:rFonts w:ascii="NexaRegular" w:hAnsi="NexaRegular"/>
          <w:color w:val="215868" w:themeColor="accent5" w:themeShade="80"/>
        </w:rPr>
        <w:t xml:space="preserve"> 5, 171</w:t>
      </w:r>
    </w:p>
    <w:p w14:paraId="4E0DD131" w14:textId="77777777" w:rsidR="003C7E32" w:rsidRPr="003C7E32" w:rsidRDefault="003C7E32" w:rsidP="003C7E32">
      <w:pPr>
        <w:pStyle w:val="Corpodetexto"/>
        <w:rPr>
          <w:rFonts w:ascii="NexaRegular" w:hAnsi="NexaRegular"/>
          <w:color w:val="215868" w:themeColor="accent5" w:themeShade="80"/>
        </w:rPr>
      </w:pPr>
      <w:proofErr w:type="spellStart"/>
      <w:proofErr w:type="gramStart"/>
      <w:r w:rsidRPr="003C7E32">
        <w:rPr>
          <w:rFonts w:ascii="NexaRegular" w:hAnsi="NexaRegular"/>
          <w:color w:val="215868" w:themeColor="accent5" w:themeShade="80"/>
        </w:rPr>
        <w:t>Maezumi</w:t>
      </w:r>
      <w:proofErr w:type="spellEnd"/>
      <w:r w:rsidRPr="003C7E32">
        <w:rPr>
          <w:rFonts w:ascii="NexaRegular" w:hAnsi="NexaRegular"/>
          <w:color w:val="215868" w:themeColor="accent5" w:themeShade="80"/>
        </w:rPr>
        <w:t xml:space="preserve"> ,</w:t>
      </w:r>
      <w:proofErr w:type="gramEnd"/>
      <w:r w:rsidRPr="003C7E32">
        <w:rPr>
          <w:rFonts w:ascii="NexaRegular" w:hAnsi="NexaRegular"/>
          <w:color w:val="215868" w:themeColor="accent5" w:themeShade="80"/>
        </w:rPr>
        <w:t xml:space="preserve"> SY, Alves, D., Robinson, M., De Souza, JG, </w:t>
      </w:r>
      <w:proofErr w:type="spellStart"/>
      <w:r w:rsidRPr="003C7E32">
        <w:rPr>
          <w:rFonts w:ascii="NexaRegular" w:hAnsi="NexaRegular"/>
          <w:color w:val="215868" w:themeColor="accent5" w:themeShade="80"/>
        </w:rPr>
        <w:t>Levis</w:t>
      </w:r>
      <w:proofErr w:type="spellEnd"/>
      <w:r w:rsidRPr="003C7E32">
        <w:rPr>
          <w:rFonts w:ascii="NexaRegular" w:hAnsi="NexaRegular"/>
          <w:color w:val="215868" w:themeColor="accent5" w:themeShade="80"/>
        </w:rPr>
        <w:t xml:space="preserve">, C., Barnett , RL, ... &amp; </w:t>
      </w:r>
      <w:proofErr w:type="spellStart"/>
      <w:r w:rsidRPr="003C7E32">
        <w:rPr>
          <w:rFonts w:ascii="NexaRegular" w:hAnsi="NexaRegular"/>
          <w:color w:val="215868" w:themeColor="accent5" w:themeShade="80"/>
        </w:rPr>
        <w:t>Iriarte</w:t>
      </w:r>
      <w:proofErr w:type="spellEnd"/>
      <w:r w:rsidRPr="003C7E32">
        <w:rPr>
          <w:rFonts w:ascii="NexaRegular" w:hAnsi="NexaRegular"/>
          <w:color w:val="215868" w:themeColor="accent5" w:themeShade="80"/>
        </w:rPr>
        <w:t>, J. (2018). The legacy of 4,500 years of polyculture agroforestry in the eastern Amazon. Nature plants, 4(8), 540-547.</w:t>
      </w:r>
    </w:p>
    <w:p w14:paraId="031F1D72" w14:textId="77777777" w:rsidR="003C7E32" w:rsidRPr="003C7E32" w:rsidRDefault="003C7E32" w:rsidP="003C7E32">
      <w:pPr>
        <w:pStyle w:val="Corpodetexto"/>
        <w:rPr>
          <w:rFonts w:ascii="NexaRegular" w:hAnsi="NexaRegular"/>
          <w:color w:val="215868" w:themeColor="accent5" w:themeShade="80"/>
        </w:rPr>
      </w:pPr>
      <w:proofErr w:type="spellStart"/>
      <w:r w:rsidRPr="003C7E32">
        <w:rPr>
          <w:rFonts w:ascii="NexaRegular" w:hAnsi="NexaRegular"/>
          <w:color w:val="215868" w:themeColor="accent5" w:themeShade="80"/>
        </w:rPr>
        <w:t>Morsello</w:t>
      </w:r>
      <w:proofErr w:type="spellEnd"/>
      <w:r w:rsidRPr="003C7E32">
        <w:rPr>
          <w:rFonts w:ascii="NexaRegular" w:hAnsi="NexaRegular"/>
          <w:color w:val="215868" w:themeColor="accent5" w:themeShade="80"/>
        </w:rPr>
        <w:t>, C. (2006). Company–community non-timber forest product deals in the Brazilian Amazon: A review of opportunities and problems. Forest Policy Economics, 8(4),485-494</w:t>
      </w:r>
    </w:p>
    <w:p w14:paraId="5BB94D51" w14:textId="77777777" w:rsidR="003C7E32" w:rsidRPr="003C7E32" w:rsidRDefault="003C7E32" w:rsidP="003C7E32">
      <w:pPr>
        <w:pStyle w:val="Corpodetexto"/>
        <w:rPr>
          <w:rFonts w:ascii="NexaRegular" w:hAnsi="NexaRegular"/>
          <w:color w:val="215868" w:themeColor="accent5" w:themeShade="80"/>
        </w:rPr>
      </w:pPr>
      <w:proofErr w:type="spellStart"/>
      <w:proofErr w:type="gramStart"/>
      <w:r w:rsidRPr="003C7E32">
        <w:rPr>
          <w:rFonts w:ascii="NexaRegular" w:hAnsi="NexaRegular"/>
          <w:color w:val="215868" w:themeColor="accent5" w:themeShade="80"/>
        </w:rPr>
        <w:t>Nhemb</w:t>
      </w:r>
      <w:proofErr w:type="spellEnd"/>
      <w:r w:rsidRPr="003C7E32">
        <w:rPr>
          <w:rFonts w:ascii="NexaRegular" w:hAnsi="NexaRegular"/>
          <w:color w:val="215868" w:themeColor="accent5" w:themeShade="80"/>
        </w:rPr>
        <w:t xml:space="preserve"> ,</w:t>
      </w:r>
      <w:proofErr w:type="gramEnd"/>
      <w:r w:rsidRPr="003C7E32">
        <w:rPr>
          <w:rFonts w:ascii="NexaRegular" w:hAnsi="NexaRegular"/>
          <w:color w:val="215868" w:themeColor="accent5" w:themeShade="80"/>
        </w:rPr>
        <w:t xml:space="preserve"> </w:t>
      </w:r>
      <w:proofErr w:type="spellStart"/>
      <w:r w:rsidRPr="003C7E32">
        <w:rPr>
          <w:rFonts w:ascii="NexaRegular" w:hAnsi="NexaRegular"/>
          <w:color w:val="215868" w:themeColor="accent5" w:themeShade="80"/>
        </w:rPr>
        <w:t>Sareth</w:t>
      </w:r>
      <w:proofErr w:type="spellEnd"/>
      <w:r w:rsidRPr="003C7E32">
        <w:rPr>
          <w:rFonts w:ascii="NexaRegular" w:hAnsi="NexaRegular"/>
          <w:color w:val="215868" w:themeColor="accent5" w:themeShade="80"/>
        </w:rPr>
        <w:t xml:space="preserve"> ; Lee, Young </w:t>
      </w:r>
      <w:proofErr w:type="spellStart"/>
      <w:r w:rsidRPr="003C7E32">
        <w:rPr>
          <w:rFonts w:ascii="NexaRegular" w:hAnsi="NexaRegular"/>
          <w:color w:val="215868" w:themeColor="accent5" w:themeShade="80"/>
        </w:rPr>
        <w:t>Jin</w:t>
      </w:r>
      <w:proofErr w:type="spellEnd"/>
      <w:r w:rsidRPr="003C7E32">
        <w:rPr>
          <w:rFonts w:ascii="NexaRegular" w:hAnsi="NexaRegular"/>
          <w:color w:val="215868" w:themeColor="accent5" w:themeShade="80"/>
        </w:rPr>
        <w:t xml:space="preserve"> ; Phin, </w:t>
      </w:r>
      <w:proofErr w:type="spellStart"/>
      <w:r w:rsidRPr="003C7E32">
        <w:rPr>
          <w:rFonts w:ascii="NexaRegular" w:hAnsi="NexaRegular"/>
          <w:color w:val="215868" w:themeColor="accent5" w:themeShade="80"/>
        </w:rPr>
        <w:t>Sopheap</w:t>
      </w:r>
      <w:proofErr w:type="spellEnd"/>
      <w:r w:rsidRPr="003C7E32">
        <w:rPr>
          <w:rFonts w:ascii="NexaRegular" w:hAnsi="NexaRegular"/>
          <w:color w:val="215868" w:themeColor="accent5" w:themeShade="80"/>
        </w:rPr>
        <w:t xml:space="preserve"> . (2017). Sustainable management of forests in view of media attention to REDD+ policy, opportunities and impact in Cambodia. Forest Policy and Economics, vol. 85, p. 10-21.</w:t>
      </w:r>
    </w:p>
    <w:p w14:paraId="120B3C54" w14:textId="6ED81163" w:rsidR="00132D4D" w:rsidRPr="00D75AE4" w:rsidRDefault="003C7E32" w:rsidP="003C7E32">
      <w:pPr>
        <w:pStyle w:val="Corpodetexto"/>
        <w:rPr>
          <w:rFonts w:ascii="NexaRegular" w:hAnsi="NexaRegular"/>
          <w:color w:val="215868" w:themeColor="accent5" w:themeShade="80"/>
        </w:rPr>
      </w:pPr>
      <w:r w:rsidRPr="003C7E32">
        <w:rPr>
          <w:rFonts w:ascii="NexaRegular" w:hAnsi="NexaRegular"/>
          <w:color w:val="215868" w:themeColor="accent5" w:themeShade="80"/>
        </w:rPr>
        <w:t xml:space="preserve">SANTANA, ACD (2022). Agribusiness from the perspective of economic growth, with social inclusion and environmental sustainability in the Amazon. </w:t>
      </w:r>
      <w:proofErr w:type="spellStart"/>
      <w:r w:rsidRPr="003C7E32">
        <w:rPr>
          <w:rFonts w:ascii="NexaRegular" w:hAnsi="NexaRegular"/>
          <w:color w:val="215868" w:themeColor="accent5" w:themeShade="80"/>
        </w:rPr>
        <w:t>Piracanjuba</w:t>
      </w:r>
      <w:proofErr w:type="spellEnd"/>
      <w:r w:rsidRPr="003C7E32">
        <w:rPr>
          <w:rFonts w:ascii="NexaRegular" w:hAnsi="NexaRegular"/>
          <w:color w:val="215868" w:themeColor="accent5" w:themeShade="80"/>
        </w:rPr>
        <w:t xml:space="preserve">, GO: </w:t>
      </w:r>
      <w:proofErr w:type="spellStart"/>
      <w:r w:rsidRPr="003C7E32">
        <w:rPr>
          <w:rFonts w:ascii="NexaRegular" w:hAnsi="NexaRegular"/>
          <w:color w:val="215868" w:themeColor="accent5" w:themeShade="80"/>
        </w:rPr>
        <w:t>Editora</w:t>
      </w:r>
      <w:proofErr w:type="spellEnd"/>
      <w:r w:rsidRPr="003C7E32">
        <w:rPr>
          <w:rFonts w:ascii="NexaRegular" w:hAnsi="NexaRegular"/>
          <w:color w:val="215868" w:themeColor="accent5" w:themeShade="80"/>
        </w:rPr>
        <w:t xml:space="preserve"> </w:t>
      </w:r>
      <w:proofErr w:type="spellStart"/>
      <w:r w:rsidRPr="003C7E32">
        <w:rPr>
          <w:rFonts w:ascii="NexaRegular" w:hAnsi="NexaRegular"/>
          <w:color w:val="215868" w:themeColor="accent5" w:themeShade="80"/>
        </w:rPr>
        <w:t>Conhecimento</w:t>
      </w:r>
      <w:proofErr w:type="spellEnd"/>
      <w:r w:rsidRPr="003C7E32">
        <w:rPr>
          <w:rFonts w:ascii="NexaRegular" w:hAnsi="NexaRegular"/>
          <w:color w:val="215868" w:themeColor="accent5" w:themeShade="80"/>
        </w:rPr>
        <w:t xml:space="preserve"> Livre.</w:t>
      </w:r>
    </w:p>
    <w:p w14:paraId="5BC5DD07" w14:textId="77777777" w:rsidR="00F3541B" w:rsidRDefault="00F3541B" w:rsidP="00966A19">
      <w:pPr>
        <w:spacing w:line="360" w:lineRule="auto"/>
        <w:ind w:right="3"/>
        <w:rPr>
          <w:rFonts w:ascii="NexaRegular" w:hAnsi="NexaRegular"/>
          <w:b/>
          <w:sz w:val="21"/>
        </w:rPr>
      </w:pPr>
    </w:p>
    <w:p w14:paraId="2A9FCAB2" w14:textId="4D039B50" w:rsidR="00E77531" w:rsidRPr="00E77531" w:rsidRDefault="00E77531" w:rsidP="00E77531">
      <w:pPr>
        <w:spacing w:line="360" w:lineRule="auto"/>
        <w:rPr>
          <w:rFonts w:ascii="NexaRegular" w:hAnsi="NexaRegular"/>
          <w:color w:val="215868" w:themeColor="accent5" w:themeShade="80"/>
          <w:lang w:val="pt-BR"/>
        </w:rPr>
      </w:pPr>
      <w:proofErr w:type="spellStart"/>
      <w:r w:rsidRPr="00E77531">
        <w:rPr>
          <w:rFonts w:ascii="NexaRegular" w:hAnsi="NexaRegular"/>
          <w:color w:val="215868" w:themeColor="accent5" w:themeShade="80"/>
          <w:lang w:val="pt-BR"/>
        </w:rPr>
        <w:t>Participants</w:t>
      </w:r>
      <w:proofErr w:type="spellEnd"/>
      <w:r w:rsidRPr="00E77531">
        <w:rPr>
          <w:rFonts w:ascii="NexaRegular" w:hAnsi="NexaRegular"/>
          <w:color w:val="215868" w:themeColor="accent5" w:themeShade="80"/>
          <w:lang w:val="pt-BR"/>
        </w:rPr>
        <w:t>:</w:t>
      </w:r>
    </w:p>
    <w:p w14:paraId="7D7D8A22" w14:textId="18F984B1" w:rsidR="00E77531" w:rsidRPr="00E77531" w:rsidRDefault="00E77531" w:rsidP="00E77531">
      <w:pPr>
        <w:spacing w:line="360" w:lineRule="auto"/>
        <w:rPr>
          <w:rFonts w:ascii="NexaRegular" w:hAnsi="NexaRegular"/>
          <w:color w:val="215868" w:themeColor="accent5" w:themeShade="80"/>
          <w:lang w:val="pt-BR"/>
        </w:rPr>
      </w:pPr>
      <w:r w:rsidRPr="00E77531">
        <w:rPr>
          <w:rFonts w:ascii="NexaRegular" w:hAnsi="NexaRegular"/>
          <w:color w:val="215868" w:themeColor="accent5" w:themeShade="80"/>
          <w:lang w:val="pt-BR"/>
        </w:rPr>
        <w:t>Prof. Dr. Simone Galina</w:t>
      </w:r>
      <w:r>
        <w:rPr>
          <w:rFonts w:ascii="NexaRegular" w:hAnsi="NexaRegular"/>
          <w:color w:val="215868" w:themeColor="accent5" w:themeShade="80"/>
          <w:lang w:val="pt-BR"/>
        </w:rPr>
        <w:t xml:space="preserve"> -</w:t>
      </w:r>
      <w:r w:rsidRPr="00E77531">
        <w:rPr>
          <w:rFonts w:ascii="NexaRegular" w:hAnsi="NexaRegular"/>
          <w:color w:val="215868" w:themeColor="accent5" w:themeShade="80"/>
          <w:lang w:val="pt-BR"/>
        </w:rPr>
        <w:t xml:space="preserve"> FEARP/USP</w:t>
      </w:r>
    </w:p>
    <w:p w14:paraId="4F2FCC7B" w14:textId="77777777" w:rsidR="00E77531" w:rsidRPr="00E77531" w:rsidRDefault="00E77531" w:rsidP="00E77531">
      <w:pPr>
        <w:spacing w:line="360" w:lineRule="auto"/>
        <w:rPr>
          <w:rFonts w:ascii="NexaRegular" w:hAnsi="NexaRegular"/>
          <w:color w:val="215868" w:themeColor="accent5" w:themeShade="80"/>
          <w:lang w:val="pt-BR"/>
        </w:rPr>
      </w:pPr>
      <w:r w:rsidRPr="00E77531">
        <w:rPr>
          <w:rFonts w:ascii="NexaRegular" w:hAnsi="NexaRegular"/>
          <w:color w:val="215868" w:themeColor="accent5" w:themeShade="80"/>
          <w:lang w:val="pt-BR"/>
        </w:rPr>
        <w:t>Prof. Dr. Sérgio Gomes -PPAD/UNAMA</w:t>
      </w:r>
    </w:p>
    <w:p w14:paraId="4379A40D" w14:textId="2AFB2FB7" w:rsidR="00E77531" w:rsidRPr="00E77531" w:rsidRDefault="00E77531" w:rsidP="00E77531">
      <w:pPr>
        <w:spacing w:line="360" w:lineRule="auto"/>
        <w:rPr>
          <w:rFonts w:ascii="NexaRegular" w:hAnsi="NexaRegular"/>
          <w:color w:val="215868" w:themeColor="accent5" w:themeShade="80"/>
          <w:lang w:val="pt-BR"/>
        </w:rPr>
      </w:pPr>
      <w:r w:rsidRPr="00E77531">
        <w:rPr>
          <w:rFonts w:ascii="NexaRegular" w:hAnsi="NexaRegular"/>
          <w:color w:val="215868" w:themeColor="accent5" w:themeShade="80"/>
          <w:lang w:val="pt-BR"/>
        </w:rPr>
        <w:t>Prof</w:t>
      </w:r>
      <w:r>
        <w:rPr>
          <w:rFonts w:ascii="NexaRegular" w:hAnsi="NexaRegular"/>
          <w:color w:val="215868" w:themeColor="accent5" w:themeShade="80"/>
          <w:lang w:val="pt-BR"/>
        </w:rPr>
        <w:t>.</w:t>
      </w:r>
      <w:r w:rsidRPr="00E77531">
        <w:rPr>
          <w:rFonts w:ascii="NexaRegular" w:hAnsi="NexaRegular"/>
          <w:color w:val="215868" w:themeColor="accent5" w:themeShade="80"/>
          <w:lang w:val="pt-BR"/>
        </w:rPr>
        <w:t xml:space="preserve"> Dr. </w:t>
      </w:r>
      <w:proofErr w:type="spellStart"/>
      <w:r w:rsidRPr="00E77531">
        <w:rPr>
          <w:rFonts w:ascii="NexaRegular" w:hAnsi="NexaRegular"/>
          <w:color w:val="215868" w:themeColor="accent5" w:themeShade="80"/>
          <w:lang w:val="pt-BR"/>
        </w:rPr>
        <w:t>Dércio</w:t>
      </w:r>
      <w:proofErr w:type="spellEnd"/>
      <w:r w:rsidRPr="00E77531">
        <w:rPr>
          <w:rFonts w:ascii="NexaRegular" w:hAnsi="NexaRegular"/>
          <w:color w:val="215868" w:themeColor="accent5" w:themeShade="80"/>
          <w:lang w:val="pt-BR"/>
        </w:rPr>
        <w:t xml:space="preserve"> Bernardes de Souza</w:t>
      </w:r>
      <w:r>
        <w:rPr>
          <w:rFonts w:ascii="NexaRegular" w:hAnsi="NexaRegular"/>
          <w:color w:val="215868" w:themeColor="accent5" w:themeShade="80"/>
          <w:lang w:val="pt-BR"/>
        </w:rPr>
        <w:t xml:space="preserve"> -</w:t>
      </w:r>
      <w:r w:rsidRPr="00E77531">
        <w:rPr>
          <w:rFonts w:ascii="NexaRegular" w:hAnsi="NexaRegular"/>
          <w:color w:val="215868" w:themeColor="accent5" w:themeShade="80"/>
          <w:lang w:val="pt-BR"/>
        </w:rPr>
        <w:t xml:space="preserve"> PPGA/UNIR</w:t>
      </w:r>
    </w:p>
    <w:p w14:paraId="1224FE0C" w14:textId="7D0C64D5" w:rsidR="003972C4" w:rsidRPr="00E77531" w:rsidRDefault="00E77531" w:rsidP="00E77531">
      <w:pPr>
        <w:spacing w:line="360" w:lineRule="auto"/>
        <w:rPr>
          <w:rFonts w:ascii="NexaRegular" w:hAnsi="NexaRegular"/>
          <w:color w:val="215868" w:themeColor="accent5" w:themeShade="80"/>
        </w:rPr>
      </w:pPr>
      <w:r w:rsidRPr="00E77531">
        <w:rPr>
          <w:rFonts w:ascii="NexaRegular" w:hAnsi="NexaRegular"/>
          <w:color w:val="215868" w:themeColor="accent5" w:themeShade="80"/>
        </w:rPr>
        <w:t xml:space="preserve">Dr. </w:t>
      </w:r>
      <w:proofErr w:type="spellStart"/>
      <w:r w:rsidRPr="00E77531">
        <w:rPr>
          <w:rFonts w:ascii="NexaRegular" w:hAnsi="NexaRegular"/>
          <w:color w:val="215868" w:themeColor="accent5" w:themeShade="80"/>
        </w:rPr>
        <w:t>Danylla</w:t>
      </w:r>
      <w:proofErr w:type="spellEnd"/>
      <w:r w:rsidRPr="00E77531">
        <w:rPr>
          <w:rFonts w:ascii="NexaRegular" w:hAnsi="NexaRegular"/>
          <w:color w:val="215868" w:themeColor="accent5" w:themeShade="80"/>
        </w:rPr>
        <w:t xml:space="preserve"> Silva - </w:t>
      </w:r>
      <w:r w:rsidR="00FA2DFF">
        <w:rPr>
          <w:rFonts w:ascii="NexaRegular" w:hAnsi="NexaRegular"/>
          <w:color w:val="215868" w:themeColor="accent5" w:themeShade="80"/>
        </w:rPr>
        <w:t>Member</w:t>
      </w:r>
      <w:r w:rsidRPr="00E77531">
        <w:rPr>
          <w:rFonts w:ascii="NexaRegular" w:hAnsi="NexaRegular"/>
          <w:color w:val="215868" w:themeColor="accent5" w:themeShade="80"/>
        </w:rPr>
        <w:t xml:space="preserve"> of the Cooperative COFRUTA </w:t>
      </w:r>
    </w:p>
    <w:sectPr w:rsidR="003972C4" w:rsidRPr="00E77531" w:rsidSect="00962144">
      <w:headerReference w:type="even" r:id="rId7"/>
      <w:headerReference w:type="default" r:id="rId8"/>
      <w:footerReference w:type="even" r:id="rId9"/>
      <w:footerReference w:type="default" r:id="rId10"/>
      <w:headerReference w:type="first" r:id="rId11"/>
      <w:footerReference w:type="first" r:id="rId12"/>
      <w:pgSz w:w="11910" w:h="16840"/>
      <w:pgMar w:top="2127" w:right="740" w:bottom="1276" w:left="1020" w:header="183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5313" w14:textId="77777777" w:rsidR="008368A6" w:rsidRDefault="008368A6">
      <w:r>
        <w:separator/>
      </w:r>
    </w:p>
  </w:endnote>
  <w:endnote w:type="continuationSeparator" w:id="0">
    <w:p w14:paraId="6DC6E7C4" w14:textId="77777777" w:rsidR="008368A6" w:rsidRDefault="00836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Nexa Heavy">
    <w:altName w:val="Calibri"/>
    <w:panose1 w:val="020B0604020202020204"/>
    <w:charset w:val="00"/>
    <w:family w:val="auto"/>
    <w:pitch w:val="variable"/>
    <w:sig w:usb0="80000207" w:usb1="00000073" w:usb2="00000000" w:usb3="00000000" w:csb0="00000097" w:csb1="00000000"/>
  </w:font>
  <w:font w:name="NexaRegular">
    <w:altName w:val="Calibri"/>
    <w:panose1 w:val="020B0604020202020204"/>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8EF0" w14:textId="77777777" w:rsidR="00416AFD" w:rsidRDefault="00416AF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78B47" w14:textId="44753E8D" w:rsidR="00962144" w:rsidRDefault="00962144">
    <w:pPr>
      <w:pStyle w:val="Rodap"/>
    </w:pPr>
    <w:r>
      <w:rPr>
        <w:noProof/>
      </w:rPr>
      <w:drawing>
        <wp:anchor distT="0" distB="0" distL="114300" distR="114300" simplePos="0" relativeHeight="251661312" behindDoc="1" locked="0" layoutInCell="1" allowOverlap="1" wp14:anchorId="60ED7CA4" wp14:editId="4D4ABE82">
          <wp:simplePos x="647700" y="9991725"/>
          <wp:positionH relativeFrom="page">
            <wp:align>left</wp:align>
          </wp:positionH>
          <wp:positionV relativeFrom="page">
            <wp:align>bottom</wp:align>
          </wp:positionV>
          <wp:extent cx="7560000" cy="698400"/>
          <wp:effectExtent l="0" t="0" r="3175" b="6985"/>
          <wp:wrapTight wrapText="bothSides">
            <wp:wrapPolygon edited="0">
              <wp:start x="0" y="0"/>
              <wp:lineTo x="0" y="21227"/>
              <wp:lineTo x="21555" y="21227"/>
              <wp:lineTo x="21555" y="1769"/>
              <wp:lineTo x="21391" y="0"/>
              <wp:lineTo x="0" y="0"/>
            </wp:wrapPolygon>
          </wp:wrapTight>
          <wp:docPr id="8428795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84108" name="Imagem 1646884108"/>
                  <pic:cNvPicPr/>
                </pic:nvPicPr>
                <pic:blipFill>
                  <a:blip r:embed="rId1">
                    <a:extLst>
                      <a:ext uri="{28A0092B-C50C-407E-A947-70E740481C1C}">
                        <a14:useLocalDpi xmlns:a14="http://schemas.microsoft.com/office/drawing/2010/main" val="0"/>
                      </a:ext>
                    </a:extLst>
                  </a:blip>
                  <a:stretch>
                    <a:fillRect/>
                  </a:stretch>
                </pic:blipFill>
                <pic:spPr>
                  <a:xfrm>
                    <a:off x="0" y="0"/>
                    <a:ext cx="7560000" cy="6984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7294" w14:textId="77777777" w:rsidR="00416AFD" w:rsidRDefault="00416AF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D1063" w14:textId="77777777" w:rsidR="008368A6" w:rsidRDefault="008368A6">
      <w:r>
        <w:separator/>
      </w:r>
    </w:p>
  </w:footnote>
  <w:footnote w:type="continuationSeparator" w:id="0">
    <w:p w14:paraId="5D0F9323" w14:textId="77777777" w:rsidR="008368A6" w:rsidRDefault="00836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6EF4E" w14:textId="77777777" w:rsidR="00416AFD" w:rsidRDefault="00416AF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2D4B6" w14:textId="186F64CE" w:rsidR="00E429F2" w:rsidRDefault="00D75AE4">
    <w:pPr>
      <w:pStyle w:val="Corpodetexto"/>
      <w:spacing w:line="14" w:lineRule="auto"/>
      <w:ind w:left="0" w:right="0"/>
      <w:jc w:val="left"/>
      <w:rPr>
        <w:sz w:val="20"/>
      </w:rPr>
    </w:pPr>
    <w:r>
      <w:rPr>
        <w:noProof/>
        <w:sz w:val="20"/>
      </w:rPr>
      <w:drawing>
        <wp:anchor distT="0" distB="0" distL="114300" distR="114300" simplePos="0" relativeHeight="251659264" behindDoc="0" locked="0" layoutInCell="1" allowOverlap="1" wp14:anchorId="047AFFDE" wp14:editId="27F72FAE">
          <wp:simplePos x="647700" y="304800"/>
          <wp:positionH relativeFrom="page">
            <wp:align>center</wp:align>
          </wp:positionH>
          <wp:positionV relativeFrom="page">
            <wp:align>top</wp:align>
          </wp:positionV>
          <wp:extent cx="7560000" cy="1166400"/>
          <wp:effectExtent l="0" t="0" r="3175" b="0"/>
          <wp:wrapSquare wrapText="bothSides"/>
          <wp:docPr id="215947284" name="Imagem 1" descr="Uma imagem com texto, captura de ecrã, Tipo de letra,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67817" name="Imagem 1" descr="Uma imagem com texto, captura de ecrã, Tipo de letra, verde&#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60000" cy="1166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A54C" w14:textId="77777777" w:rsidR="00416AFD" w:rsidRDefault="00416AF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70D16"/>
    <w:multiLevelType w:val="hybridMultilevel"/>
    <w:tmpl w:val="4E7A056A"/>
    <w:lvl w:ilvl="0" w:tplc="08160001">
      <w:start w:val="1"/>
      <w:numFmt w:val="bullet"/>
      <w:lvlText w:val=""/>
      <w:lvlJc w:val="left"/>
      <w:pPr>
        <w:ind w:left="832" w:hanging="360"/>
      </w:pPr>
      <w:rPr>
        <w:rFonts w:ascii="Symbol" w:hAnsi="Symbol" w:hint="default"/>
      </w:rPr>
    </w:lvl>
    <w:lvl w:ilvl="1" w:tplc="08160003" w:tentative="1">
      <w:start w:val="1"/>
      <w:numFmt w:val="bullet"/>
      <w:lvlText w:val="o"/>
      <w:lvlJc w:val="left"/>
      <w:pPr>
        <w:ind w:left="1552" w:hanging="360"/>
      </w:pPr>
      <w:rPr>
        <w:rFonts w:ascii="Courier New" w:hAnsi="Courier New" w:cs="Courier New" w:hint="default"/>
      </w:rPr>
    </w:lvl>
    <w:lvl w:ilvl="2" w:tplc="08160005" w:tentative="1">
      <w:start w:val="1"/>
      <w:numFmt w:val="bullet"/>
      <w:lvlText w:val=""/>
      <w:lvlJc w:val="left"/>
      <w:pPr>
        <w:ind w:left="2272" w:hanging="360"/>
      </w:pPr>
      <w:rPr>
        <w:rFonts w:ascii="Wingdings" w:hAnsi="Wingdings" w:hint="default"/>
      </w:rPr>
    </w:lvl>
    <w:lvl w:ilvl="3" w:tplc="08160001" w:tentative="1">
      <w:start w:val="1"/>
      <w:numFmt w:val="bullet"/>
      <w:lvlText w:val=""/>
      <w:lvlJc w:val="left"/>
      <w:pPr>
        <w:ind w:left="2992" w:hanging="360"/>
      </w:pPr>
      <w:rPr>
        <w:rFonts w:ascii="Symbol" w:hAnsi="Symbol" w:hint="default"/>
      </w:rPr>
    </w:lvl>
    <w:lvl w:ilvl="4" w:tplc="08160003" w:tentative="1">
      <w:start w:val="1"/>
      <w:numFmt w:val="bullet"/>
      <w:lvlText w:val="o"/>
      <w:lvlJc w:val="left"/>
      <w:pPr>
        <w:ind w:left="3712" w:hanging="360"/>
      </w:pPr>
      <w:rPr>
        <w:rFonts w:ascii="Courier New" w:hAnsi="Courier New" w:cs="Courier New" w:hint="default"/>
      </w:rPr>
    </w:lvl>
    <w:lvl w:ilvl="5" w:tplc="08160005" w:tentative="1">
      <w:start w:val="1"/>
      <w:numFmt w:val="bullet"/>
      <w:lvlText w:val=""/>
      <w:lvlJc w:val="left"/>
      <w:pPr>
        <w:ind w:left="4432" w:hanging="360"/>
      </w:pPr>
      <w:rPr>
        <w:rFonts w:ascii="Wingdings" w:hAnsi="Wingdings" w:hint="default"/>
      </w:rPr>
    </w:lvl>
    <w:lvl w:ilvl="6" w:tplc="08160001" w:tentative="1">
      <w:start w:val="1"/>
      <w:numFmt w:val="bullet"/>
      <w:lvlText w:val=""/>
      <w:lvlJc w:val="left"/>
      <w:pPr>
        <w:ind w:left="5152" w:hanging="360"/>
      </w:pPr>
      <w:rPr>
        <w:rFonts w:ascii="Symbol" w:hAnsi="Symbol" w:hint="default"/>
      </w:rPr>
    </w:lvl>
    <w:lvl w:ilvl="7" w:tplc="08160003" w:tentative="1">
      <w:start w:val="1"/>
      <w:numFmt w:val="bullet"/>
      <w:lvlText w:val="o"/>
      <w:lvlJc w:val="left"/>
      <w:pPr>
        <w:ind w:left="5872" w:hanging="360"/>
      </w:pPr>
      <w:rPr>
        <w:rFonts w:ascii="Courier New" w:hAnsi="Courier New" w:cs="Courier New" w:hint="default"/>
      </w:rPr>
    </w:lvl>
    <w:lvl w:ilvl="8" w:tplc="08160005" w:tentative="1">
      <w:start w:val="1"/>
      <w:numFmt w:val="bullet"/>
      <w:lvlText w:val=""/>
      <w:lvlJc w:val="left"/>
      <w:pPr>
        <w:ind w:left="6592" w:hanging="360"/>
      </w:pPr>
      <w:rPr>
        <w:rFonts w:ascii="Wingdings" w:hAnsi="Wingdings" w:hint="default"/>
      </w:rPr>
    </w:lvl>
  </w:abstractNum>
  <w:abstractNum w:abstractNumId="1" w15:restartNumberingAfterBreak="0">
    <w:nsid w:val="58225FBA"/>
    <w:multiLevelType w:val="hybridMultilevel"/>
    <w:tmpl w:val="6B2E6440"/>
    <w:lvl w:ilvl="0" w:tplc="08160001">
      <w:start w:val="1"/>
      <w:numFmt w:val="bullet"/>
      <w:lvlText w:val=""/>
      <w:lvlJc w:val="left"/>
      <w:pPr>
        <w:ind w:left="832" w:hanging="360"/>
      </w:pPr>
      <w:rPr>
        <w:rFonts w:ascii="Symbol" w:hAnsi="Symbol" w:hint="default"/>
      </w:rPr>
    </w:lvl>
    <w:lvl w:ilvl="1" w:tplc="08160003" w:tentative="1">
      <w:start w:val="1"/>
      <w:numFmt w:val="bullet"/>
      <w:lvlText w:val="o"/>
      <w:lvlJc w:val="left"/>
      <w:pPr>
        <w:ind w:left="1552" w:hanging="360"/>
      </w:pPr>
      <w:rPr>
        <w:rFonts w:ascii="Courier New" w:hAnsi="Courier New" w:cs="Courier New" w:hint="default"/>
      </w:rPr>
    </w:lvl>
    <w:lvl w:ilvl="2" w:tplc="08160005" w:tentative="1">
      <w:start w:val="1"/>
      <w:numFmt w:val="bullet"/>
      <w:lvlText w:val=""/>
      <w:lvlJc w:val="left"/>
      <w:pPr>
        <w:ind w:left="2272" w:hanging="360"/>
      </w:pPr>
      <w:rPr>
        <w:rFonts w:ascii="Wingdings" w:hAnsi="Wingdings" w:hint="default"/>
      </w:rPr>
    </w:lvl>
    <w:lvl w:ilvl="3" w:tplc="08160001" w:tentative="1">
      <w:start w:val="1"/>
      <w:numFmt w:val="bullet"/>
      <w:lvlText w:val=""/>
      <w:lvlJc w:val="left"/>
      <w:pPr>
        <w:ind w:left="2992" w:hanging="360"/>
      </w:pPr>
      <w:rPr>
        <w:rFonts w:ascii="Symbol" w:hAnsi="Symbol" w:hint="default"/>
      </w:rPr>
    </w:lvl>
    <w:lvl w:ilvl="4" w:tplc="08160003" w:tentative="1">
      <w:start w:val="1"/>
      <w:numFmt w:val="bullet"/>
      <w:lvlText w:val="o"/>
      <w:lvlJc w:val="left"/>
      <w:pPr>
        <w:ind w:left="3712" w:hanging="360"/>
      </w:pPr>
      <w:rPr>
        <w:rFonts w:ascii="Courier New" w:hAnsi="Courier New" w:cs="Courier New" w:hint="default"/>
      </w:rPr>
    </w:lvl>
    <w:lvl w:ilvl="5" w:tplc="08160005" w:tentative="1">
      <w:start w:val="1"/>
      <w:numFmt w:val="bullet"/>
      <w:lvlText w:val=""/>
      <w:lvlJc w:val="left"/>
      <w:pPr>
        <w:ind w:left="4432" w:hanging="360"/>
      </w:pPr>
      <w:rPr>
        <w:rFonts w:ascii="Wingdings" w:hAnsi="Wingdings" w:hint="default"/>
      </w:rPr>
    </w:lvl>
    <w:lvl w:ilvl="6" w:tplc="08160001" w:tentative="1">
      <w:start w:val="1"/>
      <w:numFmt w:val="bullet"/>
      <w:lvlText w:val=""/>
      <w:lvlJc w:val="left"/>
      <w:pPr>
        <w:ind w:left="5152" w:hanging="360"/>
      </w:pPr>
      <w:rPr>
        <w:rFonts w:ascii="Symbol" w:hAnsi="Symbol" w:hint="default"/>
      </w:rPr>
    </w:lvl>
    <w:lvl w:ilvl="7" w:tplc="08160003" w:tentative="1">
      <w:start w:val="1"/>
      <w:numFmt w:val="bullet"/>
      <w:lvlText w:val="o"/>
      <w:lvlJc w:val="left"/>
      <w:pPr>
        <w:ind w:left="5872" w:hanging="360"/>
      </w:pPr>
      <w:rPr>
        <w:rFonts w:ascii="Courier New" w:hAnsi="Courier New" w:cs="Courier New" w:hint="default"/>
      </w:rPr>
    </w:lvl>
    <w:lvl w:ilvl="8" w:tplc="08160005" w:tentative="1">
      <w:start w:val="1"/>
      <w:numFmt w:val="bullet"/>
      <w:lvlText w:val=""/>
      <w:lvlJc w:val="left"/>
      <w:pPr>
        <w:ind w:left="6592" w:hanging="360"/>
      </w:pPr>
      <w:rPr>
        <w:rFonts w:ascii="Wingdings" w:hAnsi="Wingdings" w:hint="default"/>
      </w:rPr>
    </w:lvl>
  </w:abstractNum>
  <w:num w:numId="1" w16cid:durableId="1619870612">
    <w:abstractNumId w:val="1"/>
  </w:num>
  <w:num w:numId="2" w16cid:durableId="946229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F2"/>
    <w:rsid w:val="00132D4D"/>
    <w:rsid w:val="001C5AB6"/>
    <w:rsid w:val="00365C57"/>
    <w:rsid w:val="003972C4"/>
    <w:rsid w:val="003C7E32"/>
    <w:rsid w:val="00416620"/>
    <w:rsid w:val="00416AFD"/>
    <w:rsid w:val="0042588F"/>
    <w:rsid w:val="005D196A"/>
    <w:rsid w:val="005D56F2"/>
    <w:rsid w:val="006010EA"/>
    <w:rsid w:val="006359F4"/>
    <w:rsid w:val="00713192"/>
    <w:rsid w:val="00746CBE"/>
    <w:rsid w:val="0080404D"/>
    <w:rsid w:val="008368A6"/>
    <w:rsid w:val="00962144"/>
    <w:rsid w:val="00966A19"/>
    <w:rsid w:val="009A10FA"/>
    <w:rsid w:val="00A44EA1"/>
    <w:rsid w:val="00C52D5B"/>
    <w:rsid w:val="00CD5A89"/>
    <w:rsid w:val="00CF39FF"/>
    <w:rsid w:val="00D75AE4"/>
    <w:rsid w:val="00E429F2"/>
    <w:rsid w:val="00E42C71"/>
    <w:rsid w:val="00E77531"/>
    <w:rsid w:val="00ED0FF3"/>
    <w:rsid w:val="00F1266A"/>
    <w:rsid w:val="00F238EF"/>
    <w:rsid w:val="00F3541B"/>
    <w:rsid w:val="00FA2D3C"/>
    <w:rsid w:val="00FA2DFF"/>
    <w:rsid w:val="00FF68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3F79D8"/>
  <w15:docId w15:val="{002E9A83-40ED-42E9-828D-54950386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Ttulo1">
    <w:name w:val="heading 1"/>
    <w:basedOn w:val="Normal"/>
    <w:uiPriority w:val="9"/>
    <w:qFormat/>
    <w:pPr>
      <w:ind w:left="8"/>
      <w:jc w:val="center"/>
      <w:outlineLvl w:val="0"/>
    </w:pPr>
    <w:rPr>
      <w:b/>
      <w:b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112" w:right="103"/>
      <w:jc w:val="both"/>
    </w:pPr>
    <w:rPr>
      <w:sz w:val="21"/>
      <w:szCs w:val="21"/>
    </w:rPr>
  </w:style>
  <w:style w:type="paragraph" w:styleId="PargrafodaLista">
    <w:name w:val="List Paragraph"/>
    <w:basedOn w:val="Normal"/>
    <w:uiPriority w:val="1"/>
    <w:qFormat/>
  </w:style>
  <w:style w:type="paragraph" w:customStyle="1" w:styleId="TableParagraph">
    <w:name w:val="Table Paragraph"/>
    <w:basedOn w:val="Normal"/>
    <w:uiPriority w:val="1"/>
    <w:qFormat/>
    <w:pPr>
      <w:ind w:left="50"/>
    </w:pPr>
  </w:style>
  <w:style w:type="paragraph" w:styleId="Cabealho">
    <w:name w:val="header"/>
    <w:basedOn w:val="Normal"/>
    <w:link w:val="CabealhoChar"/>
    <w:uiPriority w:val="99"/>
    <w:unhideWhenUsed/>
    <w:rsid w:val="00D75AE4"/>
    <w:pPr>
      <w:tabs>
        <w:tab w:val="center" w:pos="4252"/>
        <w:tab w:val="right" w:pos="8504"/>
      </w:tabs>
    </w:pPr>
  </w:style>
  <w:style w:type="character" w:customStyle="1" w:styleId="CabealhoChar">
    <w:name w:val="Cabeçalho Char"/>
    <w:basedOn w:val="Fontepargpadro"/>
    <w:link w:val="Cabealho"/>
    <w:uiPriority w:val="99"/>
    <w:rsid w:val="00D75AE4"/>
    <w:rPr>
      <w:rFonts w:ascii="Cambria" w:eastAsia="Cambria" w:hAnsi="Cambria" w:cs="Cambria"/>
    </w:rPr>
  </w:style>
  <w:style w:type="paragraph" w:styleId="Rodap">
    <w:name w:val="footer"/>
    <w:basedOn w:val="Normal"/>
    <w:link w:val="RodapChar"/>
    <w:uiPriority w:val="99"/>
    <w:unhideWhenUsed/>
    <w:rsid w:val="00D75AE4"/>
    <w:pPr>
      <w:tabs>
        <w:tab w:val="center" w:pos="4252"/>
        <w:tab w:val="right" w:pos="8504"/>
      </w:tabs>
    </w:pPr>
  </w:style>
  <w:style w:type="character" w:customStyle="1" w:styleId="RodapChar">
    <w:name w:val="Rodapé Char"/>
    <w:basedOn w:val="Fontepargpadro"/>
    <w:link w:val="Rodap"/>
    <w:uiPriority w:val="99"/>
    <w:rsid w:val="00D75AE4"/>
    <w:rPr>
      <w:rFonts w:ascii="Cambria" w:eastAsia="Cambria" w:hAnsi="Cambria" w:cs="Cambria"/>
    </w:rPr>
  </w:style>
  <w:style w:type="character" w:styleId="Hyperlink">
    <w:name w:val="Hyperlink"/>
    <w:basedOn w:val="Fontepargpadro"/>
    <w:uiPriority w:val="99"/>
    <w:unhideWhenUsed/>
    <w:rsid w:val="0080404D"/>
    <w:rPr>
      <w:color w:val="0000FF" w:themeColor="hyperlink"/>
      <w:u w:val="single"/>
    </w:rPr>
  </w:style>
  <w:style w:type="character" w:styleId="MenoPendente">
    <w:name w:val="Unresolved Mention"/>
    <w:basedOn w:val="Fontepargpadro"/>
    <w:uiPriority w:val="99"/>
    <w:semiHidden/>
    <w:unhideWhenUsed/>
    <w:rsid w:val="0080404D"/>
    <w:rPr>
      <w:color w:val="605E5C"/>
      <w:shd w:val="clear" w:color="auto" w:fill="E1DFDD"/>
    </w:rPr>
  </w:style>
  <w:style w:type="character" w:styleId="HiperlinkVisitado">
    <w:name w:val="FollowedHyperlink"/>
    <w:basedOn w:val="Fontepargpadro"/>
    <w:uiPriority w:val="99"/>
    <w:semiHidden/>
    <w:unhideWhenUsed/>
    <w:rsid w:val="005D19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32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1008</Words>
  <Characters>5448</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Eventos05</dc:creator>
  <cp:lastModifiedBy>Author</cp:lastModifiedBy>
  <cp:revision>9</cp:revision>
  <dcterms:created xsi:type="dcterms:W3CDTF">2025-03-10T11:55:00Z</dcterms:created>
  <dcterms:modified xsi:type="dcterms:W3CDTF">2025-03-10T18:28:00Z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2020-07-15T00:00:00Z</vt:filetime>
  </property>
  <property fmtid="{D5CDD505-2E9C-101B-9397-08002B2CF9AE}" pid="3" name="Creator">
    <vt:lpwstr>Microsoft® Word para Microsoft 365</vt:lpwstr>
  </property>
  <property fmtid="{D5CDD505-2E9C-101B-9397-08002B2CF9AE}" pid="4" name="LastSaved">
    <vt:filetime>2025-01-22T00:00:00Z</vt:filetime>
  </property>
  <property fmtid="{D5CDD505-2E9C-101B-9397-08002B2CF9AE}" pid="5" name="Producer">
    <vt:lpwstr>Microsoft® Word para Microsoft 365</vt:lpwstr>
  </property>
  <property fmtid="{D5CDD505-2E9C-101B-9397-08002B2CF9AE}" pid="6" name="GrammarlyDocumentId">
    <vt:lpwstr>777e9abdbf557761f749fe6757d2c601701d7953df30041b30d258478bd44998</vt:lpwstr>
  </property>
</Properties>
</file>