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sz w:val="28"/>
          <w:szCs w:val="28"/>
        </w:rPr>
        <w:t xml:space="preserve">LAW NO. 20,594</w:t>
      </w:r>
    </w:p>
    <w:p>
      <w:pPr>
        <w:spacing w:before="0" w:after="160"/>
        <w:jc w:val="center"/>
      </w:pPr>
      <w:r>
        <w:rPr>
          <w:rFonts w:ascii="Arial" w:cs="Arial" w:eastAsia="Arial" w:hAnsi="Arial"/>
          <w:b/>
          <w:bCs/>
          <w:sz w:val="24"/>
          <w:szCs w:val="24"/>
        </w:rPr>
        <w:t xml:space="preserve">ESTABLISHES DISQUALIFICATIONS FOR PERSONS CONVICTED OF SEXUAL OFFENSES AGAINST MINORS AND CREATES A REGISTRY OF SUCH DISQUALIFICATIONS</w:t>
      </w:r>
    </w:p>
    <w:p>
      <w:pPr>
        <w:spacing w:before="0" w:after="160"/>
        <w:jc w:val="center"/>
      </w:pPr>
      <w:r>
        <w:rPr>
          <w:rFonts w:ascii="Arial" w:cs="Arial" w:eastAsia="Arial" w:hAnsi="Arial"/>
          <w:sz w:val="22"/>
          <w:szCs w:val="22"/>
        </w:rPr>
        <w:t xml:space="preserve">MINISTRY OF THE INTERIOR AND PUBLIC SECURITY; UNDERSECRETARY OF THE INTERIOR</w:t>
      </w:r>
    </w:p>
    <w:p>
      <w:pPr>
        <w:spacing w:before="0" w:after="400"/>
        <w:jc w:val="center"/>
      </w:pPr>
      <w:r>
        <w:rPr>
          <w:rFonts w:ascii="Arial" w:cs="Arial" w:eastAsia="Arial" w:hAnsi="Arial"/>
          <w:i/>
          <w:iCs/>
          <w:sz w:val="22"/>
          <w:szCs w:val="22"/>
        </w:rPr>
        <w:t xml:space="preserve">Published: June 19, 2012  |  Promulgated: June 13, 2012</w:t>
      </w:r>
    </w:p>
    <w:p>
      <w:pPr>
        <w:spacing w:before="0" w:after="200"/>
      </w:pPr>
      <w:r>
        <w:rPr>
          <w:rFonts w:ascii="Arial" w:cs="Arial" w:eastAsia="Arial" w:hAnsi="Arial"/>
          <w:sz w:val="24"/>
          <w:szCs w:val="24"/>
        </w:rPr>
        <w:t xml:space="preserve">Whereas the Honorable National Congress has approved the following Bill:</w:t>
      </w:r>
    </w:p>
    <w:p>
      <w:pPr>
        <w:spacing w:before="0" w:after="160"/>
      </w:pPr>
      <w:r>
        <w:rPr>
          <w:rFonts w:ascii="Arial" w:cs="Arial" w:eastAsia="Arial" w:hAnsi="Arial"/>
          <w:b/>
          <w:bCs/>
          <w:sz w:val="24"/>
          <w:szCs w:val="24"/>
        </w:rPr>
        <w:t xml:space="preserve">Article 1.</w:t>
      </w:r>
      <w:r>
        <w:rPr>
          <w:rFonts w:ascii="Arial" w:cs="Arial" w:eastAsia="Arial" w:hAnsi="Arial"/>
          <w:sz w:val="24"/>
          <w:szCs w:val="24"/>
        </w:rPr>
        <w:t xml:space="preserve">  The following amendments are introduced to the Penal Code:</w:t>
      </w:r>
    </w:p>
    <w:p>
      <w:pPr>
        <w:spacing w:before="0" w:after="160"/>
        <w:ind w:left="720"/>
      </w:pPr>
      <w:r>
        <w:rPr>
          <w:rFonts w:ascii="Arial" w:cs="Arial" w:eastAsia="Arial" w:hAnsi="Arial"/>
          <w:sz w:val="24"/>
          <w:szCs w:val="24"/>
        </w:rPr>
        <w:t xml:space="preserve">1.  In Article 21, the following penalty is inserted in the General Scale, Penalties for crimes, between “Absolute perpetual disqualification from public offices and positions, political rights, and licensed professions” and “Special perpetual disqualification from a specific public office, position, or licensed profession”:</w:t>
      </w:r>
    </w:p>
    <w:p>
      <w:pPr>
        <w:spacing w:before="0" w:after="200"/>
        <w:ind w:left="1080"/>
      </w:pPr>
      <w:r>
        <w:rPr>
          <w:rFonts w:ascii="Arial" w:cs="Arial" w:eastAsia="Arial" w:hAnsi="Arial"/>
          <w:i/>
          <w:iCs/>
          <w:sz w:val="24"/>
          <w:szCs w:val="24"/>
        </w:rPr>
        <w:t xml:space="preserve">“Absolute perpetual disqualification from positions, employments, offices, or professions exercised in educational settings or that involve a direct and regular relationship with minors.”</w:t>
      </w:r>
    </w:p>
    <w:p>
      <w:pPr>
        <w:spacing w:before="0" w:after="120"/>
        <w:ind w:left="720"/>
      </w:pPr>
      <w:r>
        <w:rPr>
          <w:rFonts w:ascii="Arial" w:cs="Arial" w:eastAsia="Arial" w:hAnsi="Arial"/>
          <w:sz w:val="24"/>
          <w:szCs w:val="24"/>
        </w:rPr>
        <w:t xml:space="preserve">2.  In Article 39 bis:</w:t>
      </w:r>
    </w:p>
    <w:p>
      <w:pPr>
        <w:spacing w:before="0" w:after="120"/>
        <w:ind w:left="1080"/>
      </w:pPr>
      <w:r>
        <w:rPr>
          <w:rFonts w:ascii="Arial" w:cs="Arial" w:eastAsia="Arial" w:hAnsi="Arial"/>
          <w:sz w:val="24"/>
          <w:szCs w:val="24"/>
        </w:rPr>
        <w:t xml:space="preserve">a)  In the first paragraph:</w:t>
      </w:r>
    </w:p>
    <w:p>
      <w:pPr>
        <w:spacing w:before="0" w:after="120"/>
        <w:ind w:left="1440"/>
      </w:pPr>
      <w:r>
        <w:rPr>
          <w:rFonts w:ascii="Arial" w:cs="Arial" w:eastAsia="Arial" w:hAnsi="Arial"/>
          <w:sz w:val="24"/>
          <w:szCs w:val="24"/>
        </w:rPr>
        <w:t xml:space="preserve">a-1)  In the opening clause, the expression “The penalty” is replaced with “The penalties,” and the expression “perpetual or” is inserted between the words “absolute” and “temporary.”</w:t>
      </w:r>
    </w:p>
    <w:p>
      <w:pPr>
        <w:spacing w:before="0" w:after="120"/>
        <w:ind w:left="1440"/>
      </w:pPr>
      <w:r>
        <w:rPr>
          <w:rFonts w:ascii="Arial" w:cs="Arial" w:eastAsia="Arial" w:hAnsi="Arial"/>
          <w:sz w:val="24"/>
          <w:szCs w:val="24"/>
        </w:rPr>
        <w:t xml:space="preserve">a-2)  In item 1, the expressions “exercised in educational settings or that involve a direct and regular relationship with minors” are inserted between the word “professions” and the conjunction “that.”</w:t>
      </w:r>
    </w:p>
    <w:p>
      <w:pPr>
        <w:spacing w:before="0" w:after="160"/>
        <w:ind w:left="1440"/>
      </w:pPr>
      <w:r>
        <w:rPr>
          <w:rFonts w:ascii="Arial" w:cs="Arial" w:eastAsia="Arial" w:hAnsi="Arial"/>
          <w:sz w:val="24"/>
          <w:szCs w:val="24"/>
        </w:rPr>
        <w:t xml:space="preserve">a-3)  In item 2, the expressions “, permanently when the disqualification is perpetual, and if the disqualification is temporary, the incapacity to obtain them,” are inserted between the words “mentioned” and “before.”</w:t>
      </w:r>
    </w:p>
    <w:p>
      <w:pPr>
        <w:spacing w:before="0" w:after="200"/>
        <w:ind w:left="1080"/>
      </w:pPr>
      <w:r>
        <w:rPr>
          <w:rFonts w:ascii="Arial" w:cs="Arial" w:eastAsia="Arial" w:hAnsi="Arial"/>
          <w:sz w:val="24"/>
          <w:szCs w:val="24"/>
        </w:rPr>
        <w:t xml:space="preserve">b)  In the second paragraph, the expression “absolute temporary” is inserted between the word “disqualification” and the preposition “from.”</w:t>
      </w:r>
    </w:p>
    <w:p>
      <w:pPr>
        <w:spacing w:before="0" w:after="120"/>
        <w:ind w:left="720"/>
      </w:pPr>
      <w:r>
        <w:rPr>
          <w:rFonts w:ascii="Arial" w:cs="Arial" w:eastAsia="Arial" w:hAnsi="Arial"/>
          <w:sz w:val="24"/>
          <w:szCs w:val="24"/>
        </w:rPr>
        <w:t xml:space="preserve">3.  In Article 372:</w:t>
      </w:r>
    </w:p>
    <w:p>
      <w:pPr>
        <w:spacing w:before="0" w:after="120"/>
        <w:ind w:left="1080"/>
      </w:pPr>
      <w:r>
        <w:rPr>
          <w:rFonts w:ascii="Arial" w:cs="Arial" w:eastAsia="Arial" w:hAnsi="Arial"/>
          <w:sz w:val="24"/>
          <w:szCs w:val="24"/>
        </w:rPr>
        <w:t xml:space="preserve">a)  The second paragraph is replaced by the following:</w:t>
      </w:r>
    </w:p>
    <w:p>
      <w:pPr>
        <w:spacing w:before="0" w:after="160"/>
        <w:ind w:left="1440"/>
      </w:pPr>
      <w:r>
        <w:rPr>
          <w:rFonts w:ascii="Arial" w:cs="Arial" w:eastAsia="Arial" w:hAnsi="Arial"/>
          <w:i/>
          <w:iCs/>
          <w:sz w:val="24"/>
          <w:szCs w:val="24"/>
        </w:rPr>
        <w:t xml:space="preserve">“Any person who commits any of the offenses set forth in Articles 362, 365 bis, 366 bis, 366 quater, 366 quinquies, and 372 bis against a minor under fourteen years of age shall also be sentenced to absolute perpetual disqualification from positions, employments, offices, or professions exercised in educational settings or that involve a direct and regular relationship with minors. The same penalty shall apply to any person who commits any of the offenses established in Articles 142 and 433, No. 1 of this Code, when any of the victims has suffered rape and is under fourteen years of age.”</w:t>
      </w:r>
    </w:p>
    <w:p>
      <w:pPr>
        <w:spacing w:before="0" w:after="120"/>
        <w:ind w:left="1080"/>
      </w:pPr>
      <w:r>
        <w:rPr>
          <w:rFonts w:ascii="Arial" w:cs="Arial" w:eastAsia="Arial" w:hAnsi="Arial"/>
          <w:sz w:val="24"/>
          <w:szCs w:val="24"/>
        </w:rPr>
        <w:t xml:space="preserve">b)  The following third paragraph is added:</w:t>
      </w:r>
    </w:p>
    <w:p>
      <w:pPr>
        <w:spacing w:before="0" w:after="200"/>
        <w:ind w:left="1440"/>
      </w:pPr>
      <w:r>
        <w:rPr>
          <w:rFonts w:ascii="Arial" w:cs="Arial" w:eastAsia="Arial" w:hAnsi="Arial"/>
          <w:i/>
          <w:iCs/>
          <w:sz w:val="24"/>
          <w:szCs w:val="24"/>
        </w:rPr>
        <w:t xml:space="preserve">“If any of the offenses referred to in Articles 361, 363, 365 bis, 366, 366 quater, 366 quinquies, 367, 367 ter, and 372 bis is committed against a minor who is over fourteen years of age, the offender shall also be sentenced to absolute temporary disqualification from positions, employments, offices, or professions exercised in educational settings or that involve a direct and regular relationship with minors, in any of its degrees. The same penalty shall be imposed on any person who commits any of the offenses established in Articles 142 and 433, No. 1 of this Code, when any of the victims has suffered rape and is a minor over fourteen years of age.”</w:t>
      </w:r>
    </w:p>
    <w:p>
      <w:pPr>
        <w:spacing w:before="0" w:after="160"/>
      </w:pPr>
      <w:r>
        <w:rPr>
          <w:rFonts w:ascii="Arial" w:cs="Arial" w:eastAsia="Arial" w:hAnsi="Arial"/>
          <w:b/>
          <w:bCs/>
          <w:sz w:val="24"/>
          <w:szCs w:val="24"/>
        </w:rPr>
        <w:t xml:space="preserve">Article 2.</w:t>
      </w:r>
      <w:r>
        <w:rPr>
          <w:rFonts w:ascii="Arial" w:cs="Arial" w:eastAsia="Arial" w:hAnsi="Arial"/>
          <w:sz w:val="24"/>
          <w:szCs w:val="24"/>
        </w:rPr>
        <w:t xml:space="preserve">  Decree Law No. 645 of 1925, on the General Registry of Convictions, is amended as follows:</w:t>
      </w:r>
    </w:p>
    <w:p>
      <w:pPr>
        <w:spacing w:before="0" w:after="120"/>
        <w:ind w:left="720"/>
      </w:pPr>
      <w:r>
        <w:rPr>
          <w:rFonts w:ascii="Arial" w:cs="Arial" w:eastAsia="Arial" w:hAnsi="Arial"/>
          <w:sz w:val="24"/>
          <w:szCs w:val="24"/>
        </w:rPr>
        <w:t xml:space="preserve">1.  The following third paragraph is added to Article 1:</w:t>
      </w:r>
    </w:p>
    <w:p>
      <w:pPr>
        <w:spacing w:before="0" w:after="200"/>
        <w:ind w:left="1080"/>
      </w:pPr>
      <w:r>
        <w:rPr>
          <w:rFonts w:ascii="Arial" w:cs="Arial" w:eastAsia="Arial" w:hAnsi="Arial"/>
          <w:i/>
          <w:iCs/>
          <w:sz w:val="24"/>
          <w:szCs w:val="24"/>
        </w:rPr>
        <w:t xml:space="preserve">“Likewise, the Registry shall have a special section, accessible by electronic means in accordance with the provisions of Article 6 bis, designated ‘Disqualifications from Exercising Functions in Educational Settings or with Minors (Article 39 bis of the Penal Code),’ in which all disqualifications established under Article 39 bis of the Penal Code that have been imposed by a final and enforceable judgment shall be recorded.”</w:t>
      </w:r>
    </w:p>
    <w:p>
      <w:pPr>
        <w:spacing w:before="0" w:after="120"/>
        <w:ind w:left="720"/>
      </w:pPr>
      <w:r>
        <w:rPr>
          <w:rFonts w:ascii="Arial" w:cs="Arial" w:eastAsia="Arial" w:hAnsi="Arial"/>
          <w:sz w:val="24"/>
          <w:szCs w:val="24"/>
        </w:rPr>
        <w:t xml:space="preserve">2.  Article 6 bis is replaced by the following:</w:t>
      </w:r>
    </w:p>
    <w:p>
      <w:pPr>
        <w:spacing w:before="0" w:after="120"/>
        <w:ind w:left="1080"/>
      </w:pPr>
      <w:r>
        <w:rPr>
          <w:rFonts w:ascii="Arial" w:cs="Arial" w:eastAsia="Arial" w:hAnsi="Arial"/>
          <w:b/>
          <w:bCs/>
          <w:i/>
          <w:iCs/>
          <w:sz w:val="24"/>
          <w:szCs w:val="24"/>
        </w:rPr>
        <w:t xml:space="preserve">“Article 6 bis.</w:t>
      </w:r>
      <w:r>
        <w:rPr>
          <w:rFonts w:ascii="Arial" w:cs="Arial" w:eastAsia="Arial" w:hAnsi="Arial"/>
          <w:i/>
          <w:iCs/>
          <w:sz w:val="24"/>
          <w:szCs w:val="24"/>
        </w:rPr>
        <w:t xml:space="preserve">  Any natural or legal person may request, or personally verify, upon identification, whether an individual is subject to the disqualification established in Article 39 bis of the Penal Code, for the purpose of hiring a person for any employment, position, office, or profession that involves a direct and regular relationship with minors, or for any other similar purpose.</w:t>
      </w:r>
    </w:p>
    <w:p>
      <w:pPr>
        <w:spacing w:before="0" w:after="120"/>
        <w:ind w:left="1080"/>
      </w:pPr>
      <w:r>
        <w:rPr>
          <w:rFonts w:ascii="Arial" w:cs="Arial" w:eastAsia="Arial" w:hAnsi="Arial"/>
          <w:i/>
          <w:iCs/>
          <w:sz w:val="24"/>
          <w:szCs w:val="24"/>
        </w:rPr>
        <w:t xml:space="preserve">Any public or private institution that, by the nature of its purpose or the specific scope of its activities, requires hiring a person for any employment, position, office, or profession involving a direct and regular relationship with minors must, prior to making such hiring, request the information referred to in the preceding paragraph.</w:t>
      </w:r>
    </w:p>
    <w:p>
      <w:pPr>
        <w:spacing w:before="0" w:after="120"/>
        <w:ind w:left="1080"/>
      </w:pPr>
      <w:r>
        <w:rPr>
          <w:rFonts w:ascii="Arial" w:cs="Arial" w:eastAsia="Arial" w:hAnsi="Arial"/>
          <w:i/>
          <w:iCs/>
          <w:sz w:val="24"/>
          <w:szCs w:val="24"/>
        </w:rPr>
        <w:t xml:space="preserve">The Civil Registry and Identification Service shall be limited to informing whether, as of the date of the request, the person being queried is subject to any of the disqualifications under Article 39 bis of the Penal Code, and shall refrain from providing any other data or background information contained in the registry. To access such information, the requester must provide the name and the National Unique Identity Number (RUN) of the person being queried. A regulation shall establish the manner and other conditions under which the information will be provided.</w:t>
      </w:r>
    </w:p>
    <w:p>
      <w:pPr>
        <w:spacing w:before="0" w:after="120"/>
        <w:ind w:left="1080"/>
      </w:pPr>
      <w:r>
        <w:rPr>
          <w:rFonts w:ascii="Arial" w:cs="Arial" w:eastAsia="Arial" w:hAnsi="Arial"/>
          <w:i/>
          <w:iCs/>
          <w:sz w:val="24"/>
          <w:szCs w:val="24"/>
        </w:rPr>
        <w:t xml:space="preserve">Any person who accesses the Registry and uses the information contained therein for purposes other than those authorized in the first paragraph shall be subject to a fine of two to ten monthly tax units, to be imposed by the local police court of the jurisdiction where the violation occurred, in accordance with Law No. 18,287.</w:t>
      </w:r>
    </w:p>
    <w:p>
      <w:pPr>
        <w:spacing w:before="0" w:after="200"/>
        <w:ind w:left="1080"/>
      </w:pPr>
      <w:r>
        <w:rPr>
          <w:rFonts w:ascii="Arial" w:cs="Arial" w:eastAsia="Arial" w:hAnsi="Arial"/>
          <w:i/>
          <w:iCs/>
          <w:sz w:val="24"/>
          <w:szCs w:val="24"/>
        </w:rPr>
        <w:t xml:space="preserve">Excepted from the provisions of the preceding paragraph are internal communications made by those in charge of an educational establishment, its owners, sponsors, and education professionals, for the purpose of determining whether a person may or may not provide services at that establishment due to a disqualification under Article 39 bis of the Penal Code. This exception shall also apply to information that such persons or establishments are required to provide to public authorities.”</w:t>
      </w:r>
    </w:p>
    <w:p>
      <w:pPr>
        <w:spacing w:before="0" w:after="200"/>
      </w:pPr>
      <w:r>
        <w:rPr>
          <w:rFonts w:ascii="Arial" w:cs="Arial" w:eastAsia="Arial" w:hAnsi="Arial"/>
          <w:sz w:val="24"/>
          <w:szCs w:val="24"/>
        </w:rPr>
        <w:t xml:space="preserve">And whereas I have seen fit to approve and sanction it, let it therefore be promulgated and carried out as a Law of the Republic.</w:t>
      </w:r>
    </w:p>
    <w:p>
      <w:pPr>
        <w:spacing w:before="0" w:after="120"/>
      </w:pPr>
      <w:r>
        <w:rPr>
          <w:rFonts w:ascii="Arial" w:cs="Arial" w:eastAsia="Arial" w:hAnsi="Arial"/>
          <w:sz w:val="24"/>
          <w:szCs w:val="24"/>
        </w:rPr>
        <w:t xml:space="preserve">Santiago, June 13, 2012.</w:t>
      </w:r>
    </w:p>
    <w:p>
      <w:pPr>
        <w:spacing w:before="0" w:after="80"/>
      </w:pPr>
      <w:r>
        <w:rPr>
          <w:rFonts w:ascii="Arial" w:cs="Arial" w:eastAsia="Arial" w:hAnsi="Arial"/>
          <w:b/>
          <w:bCs/>
          <w:sz w:val="24"/>
          <w:szCs w:val="24"/>
        </w:rPr>
        <w:t xml:space="preserve">SEBASTIÁN PIÑERA ECHENIQUE, President of the Republic.</w:t>
      </w:r>
    </w:p>
    <w:p>
      <w:pPr>
        <w:spacing w:before="0" w:after="80"/>
      </w:pPr>
      <w:r>
        <w:rPr>
          <w:rFonts w:ascii="Arial" w:cs="Arial" w:eastAsia="Arial" w:hAnsi="Arial"/>
          <w:sz w:val="24"/>
          <w:szCs w:val="24"/>
        </w:rPr>
        <w:t xml:space="preserve">Rodrigo Hinzpeter Kirberg, Minister of the Interior and Public Security.</w:t>
      </w:r>
    </w:p>
    <w:p>
      <w:pPr>
        <w:spacing w:before="0" w:after="200"/>
      </w:pPr>
      <w:r>
        <w:rPr>
          <w:rFonts w:ascii="Arial" w:cs="Arial" w:eastAsia="Arial" w:hAnsi="Arial"/>
          <w:sz w:val="24"/>
          <w:szCs w:val="24"/>
        </w:rPr>
        <w:t xml:space="preserve">Teodoro Ribera Neumann, Minister of Justice.</w:t>
      </w:r>
    </w:p>
    <w:p>
      <w:pPr>
        <w:spacing w:before="0" w:after="0"/>
      </w:pPr>
      <w:r>
        <w:rPr>
          <w:rFonts w:ascii="Arial" w:cs="Arial" w:eastAsia="Arial" w:hAnsi="Arial"/>
          <w:i/>
          <w:iCs/>
          <w:sz w:val="24"/>
          <w:szCs w:val="24"/>
        </w:rPr>
        <w:t xml:space="preserve">Transcribed for your information. Regards, Rodrigo Ubilla Mackenney, Undersecretary of the Interior.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2026-03-20T16:00:38.326Z</dcterms:created>
  <dcterms:modified xsi:type="dcterms:W3CDTF">2026-03-20T16:00:38.327Z</dcterms:modified>
</cp:coreProperties>
</file>

<file path=docProps/custom.xml><?xml version="1.0" encoding="utf-8"?>
<Properties xmlns="http://schemas.openxmlformats.org/officeDocument/2006/custom-properties" xmlns:vt="http://schemas.openxmlformats.org/officeDocument/2006/docPropsVTypes"/>
</file>