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sz w:val="28"/>
          <w:szCs w:val="28"/>
        </w:rPr>
        <w:t xml:space="preserve">LAW 1918 OF 2018</w:t>
      </w:r>
    </w:p>
    <w:p>
      <w:pPr>
        <w:spacing w:before="0" w:after="120"/>
        <w:jc w:val="center"/>
      </w:pPr>
      <w:r>
        <w:rPr>
          <w:rFonts w:ascii="Arial" w:cs="Arial" w:eastAsia="Arial" w:hAnsi="Arial"/>
          <w:sz w:val="24"/>
          <w:szCs w:val="24"/>
        </w:rPr>
        <w:t xml:space="preserve">(July 12)</w:t>
      </w:r>
    </w:p>
    <w:p>
      <w:pPr>
        <w:spacing w:before="0" w:after="120"/>
        <w:jc w:val="center"/>
      </w:pPr>
      <w:r>
        <w:rPr>
          <w:rFonts w:ascii="Arial" w:cs="Arial" w:eastAsia="Arial" w:hAnsi="Arial"/>
          <w:i/>
          <w:iCs/>
          <w:sz w:val="22"/>
          <w:szCs w:val="22"/>
        </w:rPr>
        <w:t xml:space="preserve">Official Gazette No. 50,652 of July 12, 2018</w:t>
      </w:r>
    </w:p>
    <w:p>
      <w:pPr>
        <w:spacing w:before="0" w:after="120"/>
        <w:jc w:val="center"/>
      </w:pPr>
      <w:r>
        <w:rPr>
          <w:rFonts w:ascii="Arial" w:cs="Arial" w:eastAsia="Arial" w:hAnsi="Arial"/>
          <w:sz w:val="22"/>
          <w:szCs w:val="22"/>
        </w:rPr>
        <w:t xml:space="preserve">PUBLIC AUTHORITY – LEGISLATIVE BRANCH</w:t>
      </w:r>
    </w:p>
    <w:p>
      <w:pPr>
        <w:spacing w:before="0" w:after="400"/>
        <w:jc w:val="center"/>
      </w:pPr>
      <w:r>
        <w:rPr>
          <w:rFonts w:ascii="Arial" w:cs="Arial" w:eastAsia="Arial" w:hAnsi="Arial"/>
          <w:i/>
          <w:iCs/>
          <w:sz w:val="22"/>
          <w:szCs w:val="22"/>
        </w:rPr>
        <w:t xml:space="preserve">By means of which the disqualification regime is established for persons convicted of sexual offenses committed against minors, the registry of disqualifications is created, and other provisions are enacted.</w:t>
      </w:r>
    </w:p>
    <w:p>
      <w:pPr>
        <w:spacing w:before="0" w:after="160"/>
        <w:jc w:val="center"/>
      </w:pPr>
      <w:r>
        <w:rPr>
          <w:rFonts w:ascii="Arial" w:cs="Arial" w:eastAsia="Arial" w:hAnsi="Arial"/>
          <w:b/>
          <w:bCs/>
          <w:sz w:val="24"/>
          <w:szCs w:val="24"/>
        </w:rPr>
        <w:t xml:space="preserve">THE CONGRESS OF THE REPUBLIC OF COLOMBIA</w:t>
      </w:r>
    </w:p>
    <w:p>
      <w:pPr>
        <w:spacing w:before="0" w:after="320"/>
        <w:jc w:val="center"/>
      </w:pPr>
      <w:r>
        <w:rPr>
          <w:rFonts w:ascii="Arial" w:cs="Arial" w:eastAsia="Arial" w:hAnsi="Arial"/>
          <w:b/>
          <w:bCs/>
          <w:sz w:val="24"/>
          <w:szCs w:val="24"/>
        </w:rPr>
        <w:t xml:space="preserve">DECREES:</w:t>
      </w:r>
    </w:p>
    <w:p>
      <w:pPr>
        <w:pBdr>
          <w:bottom w:val="single" w:color="AAAAAA" w:sz="2" w:space="1"/>
        </w:pBdr>
        <w:spacing w:before="200" w:after="200"/>
      </w:pPr>
      <w:r>
        <w:t xml:space="preserve"/>
      </w:r>
    </w:p>
    <w:p>
      <w:pPr>
        <w:spacing w:before="280" w:after="160"/>
      </w:pPr>
      <w:r>
        <w:rPr>
          <w:rFonts w:ascii="Arial" w:cs="Arial" w:eastAsia="Arial" w:hAnsi="Arial"/>
          <w:b/>
          <w:bCs/>
          <w:caps/>
          <w:sz w:val="24"/>
          <w:szCs w:val="24"/>
        </w:rPr>
        <w:t xml:space="preserve">CHAPTER I. GENERAL PROVISIONS.</w:t>
      </w:r>
    </w:p>
    <w:p>
      <w:pPr>
        <w:spacing w:before="0" w:after="160"/>
      </w:pPr>
      <w:r>
        <w:rPr>
          <w:rFonts w:ascii="Arial" w:cs="Arial" w:eastAsia="Arial" w:hAnsi="Arial"/>
          <w:b/>
          <w:bCs/>
          <w:sz w:val="24"/>
          <w:szCs w:val="24"/>
        </w:rPr>
        <w:t xml:space="preserve">ARTICLE 1. </w:t>
      </w:r>
      <w:r>
        <w:rPr>
          <w:rFonts w:ascii="Arial" w:cs="Arial" w:eastAsia="Arial" w:hAnsi="Arial"/>
          <w:sz w:val="24"/>
          <w:szCs w:val="24"/>
        </w:rPr>
        <w:t xml:space="preserve">Article 219-C is hereby added to Law 599 of 2000, to read as follows:</w:t>
      </w:r>
    </w:p>
    <w:p>
      <w:pPr>
        <w:pBdr>
          <w:left w:val="single" w:color="888888" w:sz="4" w:space="8"/>
        </w:pBdr>
        <w:spacing w:before="120" w:after="60"/>
        <w:ind w:left="720"/>
      </w:pPr>
      <w:r>
        <w:rPr>
          <w:rFonts w:ascii="Arial" w:cs="Arial" w:eastAsia="Arial" w:hAnsi="Arial"/>
          <w:b/>
          <w:bCs/>
          <w:color w:val="555555"/>
          <w:sz w:val="20"/>
          <w:szCs w:val="20"/>
        </w:rPr>
        <w:t xml:space="preserve">Constitutional Court – Current Jurisprudence</w:t>
      </w:r>
    </w:p>
    <w:p>
      <w:pPr>
        <w:pBdr>
          <w:left w:val="single" w:color="888888" w:sz="4" w:space="8"/>
        </w:pBdr>
        <w:spacing w:before="0" w:after="160"/>
        <w:ind w:left="720"/>
      </w:pPr>
      <w:r>
        <w:rPr>
          <w:rFonts w:ascii="Arial" w:cs="Arial" w:eastAsia="Arial" w:hAnsi="Arial"/>
          <w:color w:val="333333"/>
          <w:sz w:val="20"/>
          <w:szCs w:val="20"/>
        </w:rPr>
        <w:t xml:space="preserve">Article declared CONDITIONALLY CONSTITUTIONAL, struck portion declared UNCONSTITUTIONAL, with the scope indicated in the operative part of the ruling.</w:t>
      </w:r>
    </w:p>
    <w:p>
      <w:pPr>
        <w:spacing w:before="0" w:after="160"/>
      </w:pPr>
      <w:r>
        <w:rPr>
          <w:rFonts w:ascii="Arial" w:cs="Arial" w:eastAsia="Arial" w:hAnsi="Arial"/>
          <w:i/>
          <w:iCs/>
          <w:color w:val="555555"/>
          <w:sz w:val="20"/>
          <w:szCs w:val="20"/>
        </w:rPr>
        <w:t xml:space="preserve">&lt;Article declared CONDITIONALLY CONSTITUTIONAL, struck portion UNCONSTITUTIONAL, with the scope indicated in the operative part of the ruling&gt; </w:t>
      </w:r>
      <w:r>
        <w:rPr>
          <w:rFonts w:ascii="Arial" w:cs="Arial" w:eastAsia="Arial" w:hAnsi="Arial"/>
          <w:sz w:val="24"/>
          <w:szCs w:val="24"/>
        </w:rPr>
        <w:t xml:space="preserve">Disqualifications for sexual offenses committed against minors: </w:t>
      </w:r>
      <w:r>
        <w:rPr>
          <w:rFonts w:ascii="Arial" w:cs="Arial" w:eastAsia="Arial" w:hAnsi="Arial"/>
          <w:sz w:val="24"/>
          <w:szCs w:val="24"/>
        </w:rPr>
        <w:t xml:space="preserve">Persons who have been convicted of offenses against the sexual freedom, integrity, and development of persons under 18 years of age, in accordance with Title IV of this law, shall be disqualified from holding positions, offices, or professions that involve a direct and regular relationship with minors, under the terms established by the Colombian Institute of Family Welfare (ICBF), or whoever assumes its functions.</w:t>
      </w:r>
    </w:p>
    <w:p>
      <w:pPr>
        <w:pBdr>
          <w:left w:val="single" w:color="888888" w:sz="4" w:space="8"/>
        </w:pBdr>
        <w:spacing w:before="120" w:after="60"/>
        <w:ind w:left="720"/>
      </w:pPr>
      <w:r>
        <w:rPr>
          <w:rFonts w:ascii="Arial" w:cs="Arial" w:eastAsia="Arial" w:hAnsi="Arial"/>
          <w:b/>
          <w:bCs/>
          <w:color w:val="555555"/>
          <w:sz w:val="20"/>
          <w:szCs w:val="20"/>
        </w:rPr>
        <w:t xml:space="preserve">Current Jurisprudence – Constitutional Court</w:t>
      </w:r>
    </w:p>
    <w:p>
      <w:pPr>
        <w:pBdr>
          <w:left w:val="single" w:color="888888" w:sz="4" w:space="8"/>
        </w:pBdr>
        <w:spacing w:before="0" w:after="160"/>
        <w:ind w:left="720"/>
      </w:pPr>
      <w:r>
        <w:rPr>
          <w:rFonts w:ascii="Arial" w:cs="Arial" w:eastAsia="Arial" w:hAnsi="Arial"/>
          <w:color w:val="333333"/>
          <w:sz w:val="20"/>
          <w:szCs w:val="20"/>
        </w:rPr>
        <w:t xml:space="preserve">Article declared CONDITIONALLY CONSTITUTIONAL ‘on the understanding that the duration of the accessory penalty referred to in the aforementioned provision must be subject to the time limits established for such penalties in the Penal Code,’ except that the expression “under the terms established by the Colombian Institute of Family Welfare or whoever assumes its functions” is declared UNCONSTITUTIONAL with the scope indicated in the operative part of the ruling, by the Constitutional Court in Ruling C-407-20 of September 16, 2020, Reporting Justice Dr. José Fernando Reyes Cuartas.</w:t>
      </w:r>
    </w:p>
    <w:p>
      <w:pPr>
        <w:pBdr>
          <w:left w:val="single" w:color="888888" w:sz="4" w:space="8"/>
        </w:pBdr>
        <w:spacing w:before="120" w:after="60"/>
        <w:ind w:left="720"/>
      </w:pPr>
      <w:r>
        <w:rPr>
          <w:rFonts w:ascii="Arial" w:cs="Arial" w:eastAsia="Arial" w:hAnsi="Arial"/>
          <w:b/>
          <w:bCs/>
          <w:color w:val="555555"/>
          <w:sz w:val="20"/>
          <w:szCs w:val="20"/>
        </w:rPr>
        <w:t xml:space="preserve">Editor’s Note</w:t>
      </w:r>
    </w:p>
    <w:p>
      <w:pPr>
        <w:pBdr>
          <w:left w:val="single" w:color="888888" w:sz="4" w:space="8"/>
        </w:pBdr>
        <w:spacing w:before="0" w:after="160"/>
        <w:ind w:left="720"/>
      </w:pPr>
      <w:r>
        <w:rPr>
          <w:rFonts w:ascii="Arial" w:cs="Arial" w:eastAsia="Arial" w:hAnsi="Arial"/>
          <w:color w:val="333333"/>
          <w:sz w:val="20"/>
          <w:szCs w:val="20"/>
        </w:rPr>
        <w:t xml:space="preserve">‘[T]he Full Chamber reiterated the jurisprudence on the principle of legality and found that the authority to “define those positions, offices, or professions that, having a direct and regular relationship with minors, are subject to application of the disqualification for sexual offenses committed against minors” granted to the Colombian Institute of Family Welfare is inconsistent with that principle, as it cannot be exercised by that agency but only by the Congress of the Republic. Indeed, the imposition of criminal offenses and sanctions is subject to a legislative reservation, which means that administrative authorities such as the ICBF are prohibited from defining conduct prohibited under criminal law, as is the case with the accessory penalty of disqualification referred to in the challenged provision.’</w:t>
      </w:r>
    </w:p>
    <w:p>
      <w:pPr>
        <w:pBdr>
          <w:left w:val="single" w:color="888888" w:sz="4" w:space="8"/>
        </w:pBdr>
        <w:spacing w:before="120" w:after="60"/>
        <w:ind w:left="720"/>
      </w:pPr>
      <w:r>
        <w:rPr>
          <w:rFonts w:ascii="Arial" w:cs="Arial" w:eastAsia="Arial" w:hAnsi="Arial"/>
          <w:b/>
          <w:bCs/>
          <w:color w:val="555555"/>
          <w:sz w:val="20"/>
          <w:szCs w:val="20"/>
        </w:rPr>
        <w:t xml:space="preserve">Concordant Doctrine</w:t>
      </w:r>
    </w:p>
    <w:p>
      <w:pPr>
        <w:pBdr>
          <w:left w:val="single" w:color="888888" w:sz="4" w:space="8"/>
        </w:pBdr>
        <w:spacing w:before="0" w:after="160"/>
        <w:ind w:left="720"/>
      </w:pPr>
      <w:r>
        <w:rPr>
          <w:rFonts w:ascii="Arial" w:cs="Arial" w:eastAsia="Arial" w:hAnsi="Arial"/>
          <w:color w:val="333333"/>
          <w:sz w:val="20"/>
          <w:szCs w:val="20"/>
        </w:rPr>
        <w:t xml:space="preserve">ICBF Opinion No. 5 of 2021</w:t>
      </w:r>
    </w:p>
    <w:p>
      <w:pPr>
        <w:pBdr>
          <w:bottom w:val="single" w:color="AAAAAA" w:sz="2" w:space="1"/>
        </w:pBdr>
        <w:spacing w:before="200" w:after="200"/>
      </w:pPr>
      <w:r>
        <w:t xml:space="preserve"/>
      </w:r>
    </w:p>
    <w:p>
      <w:pPr>
        <w:spacing w:before="0" w:after="160"/>
      </w:pPr>
      <w:r>
        <w:rPr>
          <w:rFonts w:ascii="Arial" w:cs="Arial" w:eastAsia="Arial" w:hAnsi="Arial"/>
          <w:b/>
          <w:bCs/>
          <w:sz w:val="24"/>
          <w:szCs w:val="24"/>
        </w:rPr>
        <w:t xml:space="preserve">ARTICLE 2. DEFINITION OF POSITIONS, OFFICES, OR PROFESSIONS. </w:t>
      </w:r>
      <w:r>
        <w:rPr>
          <w:rFonts w:ascii="Arial" w:cs="Arial" w:eastAsia="Arial" w:hAnsi="Arial"/>
          <w:i/>
          <w:iCs/>
          <w:color w:val="555555"/>
          <w:sz w:val="20"/>
          <w:szCs w:val="20"/>
        </w:rPr>
        <w:t xml:space="preserve">&lt;Article declared UNCONSTITUTIONAL&gt;</w:t>
      </w:r>
    </w:p>
    <w:p>
      <w:pPr>
        <w:pBdr>
          <w:left w:val="single" w:color="888888" w:sz="4" w:space="8"/>
        </w:pBdr>
        <w:spacing w:before="120" w:after="60"/>
        <w:ind w:left="720"/>
      </w:pPr>
      <w:r>
        <w:rPr>
          <w:rFonts w:ascii="Arial" w:cs="Arial" w:eastAsia="Arial" w:hAnsi="Arial"/>
          <w:b/>
          <w:bCs/>
          <w:color w:val="555555"/>
          <w:sz w:val="20"/>
          <w:szCs w:val="20"/>
        </w:rPr>
        <w:t xml:space="preserve">Current Jurisprudence – Constitutional Court</w:t>
      </w:r>
    </w:p>
    <w:p>
      <w:pPr>
        <w:pBdr>
          <w:left w:val="single" w:color="888888" w:sz="4" w:space="8"/>
        </w:pBdr>
        <w:spacing w:before="0" w:after="160"/>
        <w:ind w:left="720"/>
      </w:pPr>
      <w:r>
        <w:rPr>
          <w:rFonts w:ascii="Arial" w:cs="Arial" w:eastAsia="Arial" w:hAnsi="Arial"/>
          <w:color w:val="333333"/>
          <w:sz w:val="20"/>
          <w:szCs w:val="20"/>
        </w:rPr>
        <w:t xml:space="preserve">Article declared UNCONSTITUTIONAL by the Constitutional Court in Ruling C-407-20 of September 16, 2020, Reporting Justice Dr. José Fernando Reyes Cuartas.</w:t>
      </w:r>
    </w:p>
    <w:p>
      <w:pPr>
        <w:pBdr>
          <w:left w:val="single" w:color="888888" w:sz="4" w:space="8"/>
        </w:pBdr>
        <w:spacing w:before="120" w:after="60"/>
        <w:ind w:left="720"/>
      </w:pPr>
      <w:r>
        <w:rPr>
          <w:rFonts w:ascii="Arial" w:cs="Arial" w:eastAsia="Arial" w:hAnsi="Arial"/>
          <w:b/>
          <w:bCs/>
          <w:color w:val="555555"/>
          <w:sz w:val="20"/>
          <w:szCs w:val="20"/>
        </w:rPr>
        <w:t xml:space="preserve">Editor’s Note</w:t>
      </w:r>
    </w:p>
    <w:p>
      <w:pPr>
        <w:pBdr>
          <w:left w:val="single" w:color="888888" w:sz="4" w:space="8"/>
        </w:pBdr>
        <w:spacing w:before="0" w:after="160"/>
        <w:ind w:left="720"/>
      </w:pPr>
      <w:r>
        <w:rPr>
          <w:rFonts w:ascii="Arial" w:cs="Arial" w:eastAsia="Arial" w:hAnsi="Arial"/>
          <w:color w:val="333333"/>
          <w:sz w:val="20"/>
          <w:szCs w:val="20"/>
        </w:rPr>
        <w:t xml:space="preserve">‘[T]he Full Chamber reiterated the jurisprudence on the principle of legality and found that the authority to “define those positions, offices, or professions that, having a direct and regular relationship with minors, are subject to application of the disqualification for sexual offenses committed against minors” granted to the Colombian Institute of Family Welfare is inconsistent with that principle, as it cannot be exercised by that agency but only by the Congress of the Republic. Indeed, the imposition of criminal offenses and sanctions is subject to a legislative reservation, which means that administrative authorities such as the ICBF are prohibited from defining conduct prohibited under criminal law, as is the case with the accessory penalty of disqualification referred to in the challenged provision.’</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w:t>
      </w:r>
    </w:p>
    <w:p>
      <w:pPr>
        <w:pBdr>
          <w:left w:val="single" w:color="888888" w:sz="4" w:space="8"/>
        </w:pBdr>
        <w:spacing w:before="120" w:after="60"/>
        <w:ind w:left="720"/>
      </w:pPr>
      <w:r>
        <w:rPr>
          <w:rFonts w:ascii="Arial" w:cs="Arial" w:eastAsia="Arial" w:hAnsi="Arial"/>
          <w:b/>
          <w:bCs/>
          <w:color w:val="555555"/>
          <w:sz w:val="20"/>
          <w:szCs w:val="20"/>
        </w:rPr>
        <w:t xml:space="preserve">Concordant Doctrine</w:t>
      </w:r>
    </w:p>
    <w:p>
      <w:pPr>
        <w:pBdr>
          <w:left w:val="single" w:color="888888" w:sz="4" w:space="8"/>
        </w:pBdr>
        <w:spacing w:before="0" w:after="160"/>
        <w:ind w:left="720"/>
      </w:pPr>
      <w:r>
        <w:rPr>
          <w:rFonts w:ascii="Arial" w:cs="Arial" w:eastAsia="Arial" w:hAnsi="Arial"/>
          <w:color w:val="333333"/>
          <w:sz w:val="20"/>
          <w:szCs w:val="20"/>
        </w:rPr>
        <w:t xml:space="preserve">ICBF Opinion No. 5 of 2021</w:t>
      </w:r>
    </w:p>
    <w:p>
      <w:pPr>
        <w:spacing w:before="0" w:after="160"/>
      </w:pPr>
      <w:r>
        <w:rPr>
          <w:rFonts w:ascii="Arial" w:cs="Arial" w:eastAsia="Arial" w:hAnsi="Arial"/>
          <w:b w:val="false"/>
          <w:bCs w:val="false"/>
          <w:i/>
          <w:iCs/>
          <w:sz w:val="24"/>
          <w:szCs w:val="24"/>
        </w:rPr>
        <w:t xml:space="preserve">Original text of Law 1918 of 2018:</w:t>
      </w:r>
    </w:p>
    <w:p>
      <w:pPr>
        <w:spacing w:before="0" w:after="160"/>
        <w:ind w:left="720"/>
      </w:pPr>
      <w:r>
        <w:rPr>
          <w:rFonts w:ascii="Arial" w:cs="Arial" w:eastAsia="Arial" w:hAnsi="Arial"/>
          <w:b w:val="false"/>
          <w:bCs w:val="false"/>
          <w:i w:val="false"/>
          <w:iCs w:val="false"/>
          <w:sz w:val="24"/>
          <w:szCs w:val="24"/>
        </w:rPr>
        <w:t xml:space="preserve">ARTICLE 2. It is the responsibility of the National Government, through the Colombian Institute of Family Welfare (ICBF), to define those positions, offices, or professions that, having a direct and regular relationship with minors, are subject to the application of the disqualification for sexual offenses committed against minors; within a period not to exceed 6 months from the date this law enters into force.</w:t>
      </w:r>
    </w:p>
    <w:p>
      <w:pPr>
        <w:pBdr>
          <w:bottom w:val="single" w:color="AAAAAA" w:sz="2" w:space="1"/>
        </w:pBdr>
        <w:spacing w:before="200" w:after="200"/>
      </w:pPr>
      <w:r>
        <w:t xml:space="preserve"/>
      </w:r>
    </w:p>
    <w:p>
      <w:pPr>
        <w:spacing w:before="0" w:after="160"/>
      </w:pPr>
      <w:r>
        <w:rPr>
          <w:rFonts w:ascii="Arial" w:cs="Arial" w:eastAsia="Arial" w:hAnsi="Arial"/>
          <w:b/>
          <w:bCs/>
          <w:sz w:val="24"/>
          <w:szCs w:val="24"/>
        </w:rPr>
        <w:t xml:space="preserve">ARTICLE 3. REGISTRY OF DISQUALIFICATIONS FOR SEXUAL OFFENSES AGAINST MINORS. </w:t>
      </w:r>
      <w:r>
        <w:rPr>
          <w:rFonts w:ascii="Arial" w:cs="Arial" w:eastAsia="Arial" w:hAnsi="Arial"/>
          <w:sz w:val="24"/>
          <w:szCs w:val="24"/>
        </w:rPr>
        <w:t xml:space="preserve">The Ministry of Defense – National Police is responsible for administering the personal data database of persons who have been declared disqualified for sexual offenses against minors; the National Government shall regulate the matter within a period not to exceed 6 months from the date this law enters into force.</w:t>
      </w:r>
    </w:p>
    <w:p>
      <w:pPr>
        <w:spacing w:before="0" w:after="160"/>
      </w:pPr>
      <w:r>
        <w:rPr>
          <w:rFonts w:ascii="Arial" w:cs="Arial" w:eastAsia="Arial" w:hAnsi="Arial"/>
          <w:b w:val="false"/>
          <w:bCs w:val="false"/>
          <w:i w:val="false"/>
          <w:iCs w:val="false"/>
          <w:sz w:val="24"/>
          <w:szCs w:val="24"/>
        </w:rPr>
        <w:t xml:space="preserve">The judicial background certificate shall include a special section of a confidential nature designated: Disqualifications Imposed for Sexual Offenses Committed Against Minors. The Ministry of Defense – National Police shall only issue the certificate of disqualification for sexual offenses committed against minors at the request of public or private entities that are obligated to do so and that have been previously and expressly authorized by the Colombian Institute of Family Welfare.</w:t>
      </w:r>
    </w:p>
    <w:p>
      <w:pPr>
        <w:spacing w:before="0" w:after="160"/>
      </w:pPr>
      <w:r>
        <w:rPr>
          <w:rFonts w:ascii="Arial" w:cs="Arial" w:eastAsia="Arial" w:hAnsi="Arial"/>
          <w:b w:val="false"/>
          <w:bCs w:val="false"/>
          <w:i w:val="false"/>
          <w:iCs w:val="false"/>
          <w:sz w:val="24"/>
          <w:szCs w:val="24"/>
        </w:rPr>
        <w:t xml:space="preserve">The request for a certificate of disqualifications for sexual offenses committed against minors shall be made through a virtual application that must contain, at a minimum, the following requirements:</w:t>
      </w:r>
    </w:p>
    <w:p>
      <w:pPr>
        <w:spacing w:before="0" w:after="160"/>
        <w:ind w:left="720"/>
      </w:pPr>
      <w:r>
        <w:rPr>
          <w:rFonts w:ascii="Arial" w:cs="Arial" w:eastAsia="Arial" w:hAnsi="Arial"/>
          <w:b w:val="false"/>
          <w:bCs w:val="false"/>
          <w:i w:val="false"/>
          <w:iCs w:val="false"/>
          <w:sz w:val="24"/>
          <w:szCs w:val="24"/>
        </w:rPr>
        <w:t xml:space="preserve">1.  The identification of the requesting natural or legal person.</w:t>
      </w:r>
    </w:p>
    <w:p>
      <w:pPr>
        <w:spacing w:before="0" w:after="160"/>
        <w:ind w:left="720"/>
      </w:pPr>
      <w:r>
        <w:rPr>
          <w:rFonts w:ascii="Arial" w:cs="Arial" w:eastAsia="Arial" w:hAnsi="Arial"/>
          <w:b w:val="false"/>
          <w:bCs w:val="false"/>
          <w:i w:val="false"/>
          <w:iCs w:val="false"/>
          <w:sz w:val="24"/>
          <w:szCs w:val="24"/>
        </w:rPr>
        <w:t xml:space="preserve">2.  The nature of the position or office to be held by the person subject to verification.</w:t>
      </w:r>
    </w:p>
    <w:p>
      <w:pPr>
        <w:spacing w:before="0" w:after="160"/>
        <w:ind w:left="720"/>
      </w:pPr>
      <w:r>
        <w:rPr>
          <w:rFonts w:ascii="Arial" w:cs="Arial" w:eastAsia="Arial" w:hAnsi="Arial"/>
          <w:b w:val="false"/>
          <w:bCs w:val="false"/>
          <w:i w:val="false"/>
          <w:iCs w:val="false"/>
          <w:sz w:val="24"/>
          <w:szCs w:val="24"/>
        </w:rPr>
        <w:t xml:space="preserve">3.  Prior authorization from the candidate for the position to be queried in the databases.</w:t>
      </w:r>
    </w:p>
    <w:p>
      <w:pPr>
        <w:spacing w:before="0" w:after="160"/>
        <w:ind w:left="720"/>
      </w:pPr>
      <w:r>
        <w:rPr>
          <w:rFonts w:ascii="Arial" w:cs="Arial" w:eastAsia="Arial" w:hAnsi="Arial"/>
          <w:b w:val="false"/>
          <w:bCs w:val="false"/>
          <w:i w:val="false"/>
          <w:iCs w:val="false"/>
          <w:sz w:val="24"/>
          <w:szCs w:val="24"/>
        </w:rPr>
        <w:t xml:space="preserve">4.  Data of the person being queried.</w:t>
      </w:r>
    </w:p>
    <w:p>
      <w:pPr>
        <w:spacing w:before="0" w:after="160"/>
        <w:ind w:left="720"/>
      </w:pPr>
      <w:r>
        <w:rPr>
          <w:rFonts w:ascii="Arial" w:cs="Arial" w:eastAsia="Arial" w:hAnsi="Arial"/>
          <w:b w:val="false"/>
          <w:bCs w:val="false"/>
          <w:i w:val="false"/>
          <w:iCs w:val="false"/>
          <w:sz w:val="24"/>
          <w:szCs w:val="24"/>
        </w:rPr>
        <w:t xml:space="preserve">5.  Acknowledgment under oath that the information provided will be used exclusively for the personnel selection process for positions, offices, or professions involving a direct and regular relationship with minors.</w:t>
      </w:r>
    </w:p>
    <w:p>
      <w:pPr>
        <w:spacing w:before="0" w:after="160"/>
      </w:pPr>
      <w:r>
        <w:rPr>
          <w:rFonts w:ascii="Arial" w:cs="Arial" w:eastAsia="Arial" w:hAnsi="Arial"/>
          <w:b/>
          <w:bCs/>
          <w:sz w:val="24"/>
          <w:szCs w:val="24"/>
        </w:rPr>
        <w:t xml:space="preserve">PARAGRAPH 1. </w:t>
      </w:r>
      <w:r>
        <w:rPr>
          <w:rFonts w:ascii="Arial" w:cs="Arial" w:eastAsia="Arial" w:hAnsi="Arial"/>
          <w:sz w:val="24"/>
          <w:szCs w:val="24"/>
        </w:rPr>
        <w:t xml:space="preserve">Judicial offices that issue final-instance judgments must send to the entity authorized to administer the registry a report of persons convicted of sexual offenses against minors within eight (8) days following the judgment becoming final and enforceable.</w:t>
      </w:r>
    </w:p>
    <w:p>
      <w:pPr>
        <w:pBdr>
          <w:left w:val="single" w:color="888888" w:sz="4" w:space="8"/>
        </w:pBdr>
        <w:spacing w:before="120" w:after="60"/>
        <w:ind w:left="720"/>
      </w:pPr>
      <w:r>
        <w:rPr>
          <w:rFonts w:ascii="Arial" w:cs="Arial" w:eastAsia="Arial" w:hAnsi="Arial"/>
          <w:b/>
          <w:bCs/>
          <w:color w:val="555555"/>
          <w:sz w:val="20"/>
          <w:szCs w:val="20"/>
        </w:rPr>
        <w:t xml:space="preserve">Current Jurisprudence – Constitutional Court</w:t>
      </w:r>
    </w:p>
    <w:p>
      <w:pPr>
        <w:pBdr>
          <w:left w:val="single" w:color="888888" w:sz="4" w:space="8"/>
        </w:pBdr>
        <w:spacing w:before="0" w:after="160"/>
        <w:ind w:left="720"/>
      </w:pPr>
      <w:r>
        <w:rPr>
          <w:rFonts w:ascii="Arial" w:cs="Arial" w:eastAsia="Arial" w:hAnsi="Arial"/>
          <w:color w:val="333333"/>
          <w:sz w:val="20"/>
          <w:szCs w:val="20"/>
        </w:rPr>
        <w:t xml:space="preserve">Article declared CONSTITUTIONAL, solely with respect to the charges analyzed, by the Constitutional Court in Ruling C-407-20 of September 16, 2020, Reporting Justice Dr. José Fernando Reyes Cuartas.</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 Arts. 4 and 5; ICBF Resolution 3545 of 2020</w:t>
      </w:r>
    </w:p>
    <w:p>
      <w:pPr>
        <w:pBdr>
          <w:bottom w:val="single" w:color="AAAAAA" w:sz="2" w:space="1"/>
        </w:pBdr>
        <w:spacing w:before="200" w:after="200"/>
      </w:pPr>
      <w:r>
        <w:t xml:space="preserve"/>
      </w:r>
    </w:p>
    <w:p>
      <w:pPr>
        <w:spacing w:before="0" w:after="160"/>
      </w:pPr>
      <w:r>
        <w:rPr>
          <w:rFonts w:ascii="Arial" w:cs="Arial" w:eastAsia="Arial" w:hAnsi="Arial"/>
          <w:b/>
          <w:bCs/>
          <w:sz w:val="24"/>
          <w:szCs w:val="24"/>
        </w:rPr>
        <w:t xml:space="preserve">ARTICLE 4. DUTY OF VERIFICATION. </w:t>
      </w:r>
      <w:r>
        <w:rPr>
          <w:rFonts w:ascii="Arial" w:cs="Arial" w:eastAsia="Arial" w:hAnsi="Arial"/>
          <w:i/>
          <w:iCs/>
          <w:color w:val="555555"/>
          <w:sz w:val="20"/>
          <w:szCs w:val="20"/>
        </w:rPr>
        <w:t xml:space="preserve">&lt;Struck portion UNCONSTITUTIONAL&gt; </w:t>
      </w:r>
      <w:r>
        <w:rPr>
          <w:rFonts w:ascii="Arial" w:cs="Arial" w:eastAsia="Arial" w:hAnsi="Arial"/>
          <w:sz w:val="24"/>
          <w:szCs w:val="24"/>
        </w:rPr>
        <w:t xml:space="preserve">It is the duty of public or private entities, in accordance with the regulations issued by the National Government, to verify, with prior authorization from the applicant, that the applicant is not listed in the registry of disqualifications for sexual offenses committed against persons who are minors, during personnel selection processes for positions, offices, or professions involving a direct and regular relationship with minors previously defined by the Colombian Institute of Family Welfare.</w:t>
      </w:r>
    </w:p>
    <w:p>
      <w:pPr>
        <w:spacing w:before="0" w:after="160"/>
      </w:pPr>
      <w:r>
        <w:rPr>
          <w:rFonts w:ascii="Arial" w:cs="Arial" w:eastAsia="Arial" w:hAnsi="Arial"/>
          <w:b w:val="false"/>
          <w:bCs w:val="false"/>
          <w:i w:val="false"/>
          <w:iCs w:val="false"/>
          <w:sz w:val="24"/>
          <w:szCs w:val="24"/>
        </w:rPr>
        <w:t xml:space="preserve">Such verification must be updated every four months following the start of the contractual, employment, or regulatory relationship.</w:t>
      </w:r>
    </w:p>
    <w:p>
      <w:pPr>
        <w:spacing w:before="0" w:after="160"/>
      </w:pPr>
      <w:r>
        <w:rPr>
          <w:rFonts w:ascii="Arial" w:cs="Arial" w:eastAsia="Arial" w:hAnsi="Arial"/>
          <w:b/>
          <w:bCs/>
          <w:sz w:val="24"/>
          <w:szCs w:val="24"/>
        </w:rPr>
        <w:t xml:space="preserve">PARAGRAPH 1. </w:t>
      </w:r>
      <w:r>
        <w:rPr>
          <w:rFonts w:ascii="Arial" w:cs="Arial" w:eastAsia="Arial" w:hAnsi="Arial"/>
          <w:sz w:val="24"/>
          <w:szCs w:val="24"/>
        </w:rPr>
        <w:t xml:space="preserve">A public servant who fails to fulfill the duty of verification under the terms of this law and hires persons who have been convicted of sexual offenses committed against minors shall be sanctioned for a very serious disciplinary offense.</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 Art. 2, Par. 1</w:t>
      </w:r>
    </w:p>
    <w:p>
      <w:pPr>
        <w:spacing w:before="0" w:after="160"/>
      </w:pPr>
      <w:r>
        <w:rPr>
          <w:rFonts w:ascii="Arial" w:cs="Arial" w:eastAsia="Arial" w:hAnsi="Arial"/>
          <w:b/>
          <w:bCs/>
          <w:sz w:val="24"/>
          <w:szCs w:val="24"/>
        </w:rPr>
        <w:t xml:space="preserve">PARAGRAPH 2. </w:t>
      </w:r>
      <w:r>
        <w:rPr>
          <w:rFonts w:ascii="Arial" w:cs="Arial" w:eastAsia="Arial" w:hAnsi="Arial"/>
          <w:sz w:val="24"/>
          <w:szCs w:val="24"/>
        </w:rPr>
        <w:t xml:space="preserve">The use of the registry of disqualifications for sexual offenses committed against minors by public or private entities obligated to verify applicant data under the terms of this article must comply with the principles, rights, and guarantees set forth in the general rules on personal data protection, under penalty of the sanctions provided by Statutory Law 1581 of 2012, imposed by the Superintendency of Industry and Commerce.</w:t>
      </w:r>
    </w:p>
    <w:p>
      <w:pPr>
        <w:pBdr>
          <w:left w:val="single" w:color="888888" w:sz="4" w:space="8"/>
        </w:pBdr>
        <w:spacing w:before="120" w:after="60"/>
        <w:ind w:left="720"/>
      </w:pPr>
      <w:r>
        <w:rPr>
          <w:rFonts w:ascii="Arial" w:cs="Arial" w:eastAsia="Arial" w:hAnsi="Arial"/>
          <w:b/>
          <w:bCs/>
          <w:color w:val="555555"/>
          <w:sz w:val="20"/>
          <w:szCs w:val="20"/>
        </w:rPr>
        <w:t xml:space="preserve">Current Jurisprudence – Constitutional Court</w:t>
      </w:r>
    </w:p>
    <w:p>
      <w:pPr>
        <w:pBdr>
          <w:left w:val="single" w:color="888888" w:sz="4" w:space="8"/>
        </w:pBdr>
        <w:spacing w:before="0" w:after="160"/>
        <w:ind w:left="720"/>
      </w:pPr>
      <w:r>
        <w:rPr>
          <w:rFonts w:ascii="Arial" w:cs="Arial" w:eastAsia="Arial" w:hAnsi="Arial"/>
          <w:color w:val="333333"/>
          <w:sz w:val="20"/>
          <w:szCs w:val="20"/>
        </w:rPr>
        <w:t xml:space="preserve">Article declared CONSTITUTIONAL, except for the expression “by the Colombian Institute of Family Welfare,” which is declared UNCONSTITUTIONAL, by the Constitutional Court in Ruling C-407-20 of September 16, 2020, Reporting Justice Dr. José Fernando Reyes Cuartas.</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 Art. 2</w:t>
      </w:r>
    </w:p>
    <w:p>
      <w:pPr>
        <w:pBdr>
          <w:left w:val="single" w:color="888888" w:sz="4" w:space="8"/>
        </w:pBdr>
        <w:spacing w:before="120" w:after="60"/>
        <w:ind w:left="720"/>
      </w:pPr>
      <w:r>
        <w:rPr>
          <w:rFonts w:ascii="Arial" w:cs="Arial" w:eastAsia="Arial" w:hAnsi="Arial"/>
          <w:b/>
          <w:bCs/>
          <w:color w:val="555555"/>
          <w:sz w:val="20"/>
          <w:szCs w:val="20"/>
        </w:rPr>
        <w:t xml:space="preserve">Concordant Doctrine</w:t>
      </w:r>
    </w:p>
    <w:p>
      <w:pPr>
        <w:pBdr>
          <w:left w:val="single" w:color="888888" w:sz="4" w:space="8"/>
        </w:pBdr>
        <w:spacing w:before="0" w:after="160"/>
        <w:ind w:left="720"/>
      </w:pPr>
      <w:r>
        <w:rPr>
          <w:rFonts w:ascii="Arial" w:cs="Arial" w:eastAsia="Arial" w:hAnsi="Arial"/>
          <w:color w:val="333333"/>
          <w:sz w:val="20"/>
          <w:szCs w:val="20"/>
        </w:rPr>
        <w:t xml:space="preserve">ICBF Opinion No. 22 of 2021; ICBF Opinion No. 19 of 2021; ICBF Opinion No. 5 of 2021</w:t>
      </w:r>
    </w:p>
    <w:p>
      <w:pPr>
        <w:pBdr>
          <w:bottom w:val="single" w:color="AAAAAA" w:sz="2" w:space="1"/>
        </w:pBdr>
        <w:spacing w:before="200" w:after="200"/>
      </w:pPr>
      <w:r>
        <w:t xml:space="preserve"/>
      </w:r>
    </w:p>
    <w:p>
      <w:pPr>
        <w:spacing w:before="0" w:after="160"/>
      </w:pPr>
      <w:r>
        <w:rPr>
          <w:rFonts w:ascii="Arial" w:cs="Arial" w:eastAsia="Arial" w:hAnsi="Arial"/>
          <w:b/>
          <w:bCs/>
          <w:sz w:val="24"/>
          <w:szCs w:val="24"/>
        </w:rPr>
        <w:t xml:space="preserve">ARTICLE 5. SANCTIONS. </w:t>
      </w:r>
      <w:r>
        <w:rPr>
          <w:rFonts w:ascii="Arial" w:cs="Arial" w:eastAsia="Arial" w:hAnsi="Arial"/>
          <w:sz w:val="24"/>
          <w:szCs w:val="24"/>
        </w:rPr>
        <w:t xml:space="preserve">Failure to fulfill the duty of verification under the terms of this law shall subject public or private entities to a fine equivalent to fifty (50) to five hundred (500) current legal monthly minimum wages.</w:t>
      </w:r>
    </w:p>
    <w:p>
      <w:pPr>
        <w:spacing w:before="0" w:after="160"/>
      </w:pPr>
      <w:r>
        <w:rPr>
          <w:rFonts w:ascii="Arial" w:cs="Arial" w:eastAsia="Arial" w:hAnsi="Arial"/>
          <w:b/>
          <w:bCs/>
          <w:sz w:val="24"/>
          <w:szCs w:val="24"/>
        </w:rPr>
        <w:t xml:space="preserve">PARAGRAPH 1. </w:t>
      </w:r>
      <w:r>
        <w:rPr>
          <w:rFonts w:ascii="Arial" w:cs="Arial" w:eastAsia="Arial" w:hAnsi="Arial"/>
          <w:sz w:val="24"/>
          <w:szCs w:val="24"/>
        </w:rPr>
        <w:t xml:space="preserve">The sanctions referred to in the preceding paragraph shall be imposed by the Colombian Institute of Family Welfare (ICBF) through the sanctioning procedure regulated by Law 1437 of 2011.</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ICBF Resolution 3545 of 2020</w:t>
      </w:r>
    </w:p>
    <w:p>
      <w:pPr>
        <w:spacing w:before="0" w:after="160"/>
      </w:pPr>
      <w:r>
        <w:rPr>
          <w:rFonts w:ascii="Arial" w:cs="Arial" w:eastAsia="Arial" w:hAnsi="Arial"/>
          <w:b/>
          <w:bCs/>
          <w:sz w:val="24"/>
          <w:szCs w:val="24"/>
        </w:rPr>
        <w:t xml:space="preserve">PARAGRAPH 2. </w:t>
      </w:r>
      <w:r>
        <w:rPr>
          <w:rFonts w:ascii="Arial" w:cs="Arial" w:eastAsia="Arial" w:hAnsi="Arial"/>
          <w:sz w:val="24"/>
          <w:szCs w:val="24"/>
        </w:rPr>
        <w:t xml:space="preserve">The amount of fines imposed pursuant to the sanctions referred to above shall be allocated to financing the operation and promotion of the registry of disqualifications for sexual offenses against minors.</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 Art. 5</w:t>
      </w:r>
    </w:p>
    <w:p>
      <w:pPr>
        <w:spacing w:before="0" w:after="160"/>
      </w:pPr>
      <w:r>
        <w:rPr>
          <w:rFonts w:ascii="Arial" w:cs="Arial" w:eastAsia="Arial" w:hAnsi="Arial"/>
          <w:b/>
          <w:bCs/>
          <w:sz w:val="24"/>
          <w:szCs w:val="24"/>
        </w:rPr>
        <w:t xml:space="preserve">PARAGRAPH 3. </w:t>
      </w:r>
      <w:r>
        <w:rPr>
          <w:rFonts w:ascii="Arial" w:cs="Arial" w:eastAsia="Arial" w:hAnsi="Arial"/>
          <w:sz w:val="24"/>
          <w:szCs w:val="24"/>
        </w:rPr>
        <w:t xml:space="preserve">Queries that constitute a violation of the general personal data protection regime shall be sanctioned by the Superintendency of Industry and Commerce in accordance with the provisions of Statutory Law 1581 of 2012.</w:t>
      </w:r>
    </w:p>
    <w:p>
      <w:pPr>
        <w:pBdr>
          <w:left w:val="single" w:color="888888" w:sz="4" w:space="8"/>
        </w:pBdr>
        <w:spacing w:before="120" w:after="60"/>
        <w:ind w:left="720"/>
      </w:pPr>
      <w:r>
        <w:rPr>
          <w:rFonts w:ascii="Arial" w:cs="Arial" w:eastAsia="Arial" w:hAnsi="Arial"/>
          <w:b/>
          <w:bCs/>
          <w:color w:val="555555"/>
          <w:sz w:val="20"/>
          <w:szCs w:val="20"/>
        </w:rPr>
        <w:t xml:space="preserve">Current Jurisprudence – Constitutional Court</w:t>
      </w:r>
    </w:p>
    <w:p>
      <w:pPr>
        <w:pBdr>
          <w:left w:val="single" w:color="888888" w:sz="4" w:space="8"/>
        </w:pBdr>
        <w:spacing w:before="0" w:after="160"/>
        <w:ind w:left="720"/>
      </w:pPr>
      <w:r>
        <w:rPr>
          <w:rFonts w:ascii="Arial" w:cs="Arial" w:eastAsia="Arial" w:hAnsi="Arial"/>
          <w:color w:val="333333"/>
          <w:sz w:val="20"/>
          <w:szCs w:val="20"/>
        </w:rPr>
        <w:t xml:space="preserve">Article declared CONSTITUTIONAL, except for the expression “by the Colombian Institute of Family Welfare” which is declared UNCONSTITUTIONAL with the scope indicated in the operative part of the ruling, by the Constitutional Court in Ruling C-407-20 per Press Release of September 16, 2020, Reporting Justice Dr. José Fernando Reyes Cuartas.</w:t>
      </w:r>
    </w:p>
    <w:p>
      <w:pPr>
        <w:pBdr>
          <w:left w:val="single" w:color="888888" w:sz="4" w:space="8"/>
        </w:pBdr>
        <w:spacing w:before="120" w:after="60"/>
        <w:ind w:left="720"/>
      </w:pPr>
      <w:r>
        <w:rPr>
          <w:rFonts w:ascii="Arial" w:cs="Arial" w:eastAsia="Arial" w:hAnsi="Arial"/>
          <w:b/>
          <w:bCs/>
          <w:color w:val="555555"/>
          <w:sz w:val="20"/>
          <w:szCs w:val="20"/>
        </w:rPr>
        <w:t xml:space="preserve">Editor’s Note</w:t>
      </w:r>
    </w:p>
    <w:p>
      <w:pPr>
        <w:pBdr>
          <w:left w:val="single" w:color="888888" w:sz="4" w:space="8"/>
        </w:pBdr>
        <w:spacing w:before="0" w:after="160"/>
        <w:ind w:left="720"/>
      </w:pPr>
      <w:r>
        <w:rPr>
          <w:rFonts w:ascii="Arial" w:cs="Arial" w:eastAsia="Arial" w:hAnsi="Arial"/>
          <w:color w:val="333333"/>
          <w:sz w:val="20"/>
          <w:szCs w:val="20"/>
        </w:rPr>
        <w:t xml:space="preserve">‘[T]he Court found that the authority granted by the aforementioned article to the Colombian Institute of Family Welfare, as the petitioners argued, is inconsistent with the principle of legality (Article 29 of the Constitution), because the authority to “define those positions, offices, or professions that, having a direct and regular relationship with minors, are subject to application of the disqualification for sexual offenses committed against minors” cannot be exercised by the ICBF but only by the Congress of the Republic.’</w:t>
      </w:r>
    </w:p>
    <w:p>
      <w:pPr>
        <w:pBdr>
          <w:left w:val="single" w:color="888888" w:sz="4" w:space="8"/>
        </w:pBdr>
        <w:spacing w:before="120" w:after="60"/>
        <w:ind w:left="720"/>
      </w:pPr>
      <w:r>
        <w:rPr>
          <w:rFonts w:ascii="Arial" w:cs="Arial" w:eastAsia="Arial" w:hAnsi="Arial"/>
          <w:b/>
          <w:bCs/>
          <w:color w:val="555555"/>
          <w:sz w:val="20"/>
          <w:szCs w:val="20"/>
        </w:rPr>
        <w:t xml:space="preserve">Concordances</w:t>
      </w:r>
    </w:p>
    <w:p>
      <w:pPr>
        <w:pBdr>
          <w:left w:val="single" w:color="888888" w:sz="4" w:space="8"/>
        </w:pBdr>
        <w:spacing w:before="0" w:after="160"/>
        <w:ind w:left="720"/>
      </w:pPr>
      <w:r>
        <w:rPr>
          <w:rFonts w:ascii="Arial" w:cs="Arial" w:eastAsia="Arial" w:hAnsi="Arial"/>
          <w:color w:val="333333"/>
          <w:sz w:val="20"/>
          <w:szCs w:val="20"/>
        </w:rPr>
        <w:t xml:space="preserve">Decree 753 of 2019, Art. 3</w:t>
      </w:r>
    </w:p>
    <w:p>
      <w:pPr>
        <w:pBdr>
          <w:bottom w:val="single" w:color="AAAAAA" w:sz="2" w:space="1"/>
        </w:pBdr>
        <w:spacing w:before="200" w:after="200"/>
      </w:pPr>
      <w:r>
        <w:t xml:space="preserve"/>
      </w:r>
    </w:p>
    <w:p>
      <w:pPr>
        <w:spacing w:before="0" w:after="160"/>
      </w:pPr>
      <w:r>
        <w:rPr>
          <w:rFonts w:ascii="Arial" w:cs="Arial" w:eastAsia="Arial" w:hAnsi="Arial"/>
          <w:b/>
          <w:bCs/>
          <w:sz w:val="24"/>
          <w:szCs w:val="24"/>
        </w:rPr>
        <w:t xml:space="preserve">ARTICLE 6. EFFECTIVE DATE. </w:t>
      </w:r>
      <w:r>
        <w:rPr>
          <w:rFonts w:ascii="Arial" w:cs="Arial" w:eastAsia="Arial" w:hAnsi="Arial"/>
          <w:sz w:val="24"/>
          <w:szCs w:val="24"/>
        </w:rPr>
        <w:t xml:space="preserve">This law shall enter into force from the date of its promulgation.</w:t>
      </w:r>
    </w:p>
    <w:p>
      <w:pPr>
        <w:spacing w:before="280" w:after="80"/>
      </w:pPr>
      <w:r>
        <w:rPr>
          <w:rFonts w:ascii="Arial" w:cs="Arial" w:eastAsia="Arial" w:hAnsi="Arial"/>
          <w:sz w:val="24"/>
          <w:szCs w:val="24"/>
        </w:rPr>
        <w:t xml:space="preserve">The President of the Honorable Senate of the Republic,</w:t>
      </w:r>
    </w:p>
    <w:p>
      <w:pPr>
        <w:spacing w:before="0" w:after="160"/>
      </w:pPr>
      <w:r>
        <w:rPr>
          <w:rFonts w:ascii="Arial" w:cs="Arial" w:eastAsia="Arial" w:hAnsi="Arial"/>
          <w:b/>
          <w:bCs/>
          <w:sz w:val="24"/>
          <w:szCs w:val="24"/>
        </w:rPr>
        <w:t xml:space="preserve">Efraín José Cepeda Sarabia.</w:t>
      </w:r>
    </w:p>
    <w:p>
      <w:pPr>
        <w:spacing w:before="0" w:after="80"/>
      </w:pPr>
      <w:r>
        <w:rPr>
          <w:rFonts w:ascii="Arial" w:cs="Arial" w:eastAsia="Arial" w:hAnsi="Arial"/>
          <w:sz w:val="24"/>
          <w:szCs w:val="24"/>
        </w:rPr>
        <w:t xml:space="preserve">The Secretary General of the Honorable Senate of the Republic,</w:t>
      </w:r>
    </w:p>
    <w:p>
      <w:pPr>
        <w:spacing w:before="0" w:after="160"/>
      </w:pPr>
      <w:r>
        <w:rPr>
          <w:rFonts w:ascii="Arial" w:cs="Arial" w:eastAsia="Arial" w:hAnsi="Arial"/>
          <w:b/>
          <w:bCs/>
          <w:sz w:val="24"/>
          <w:szCs w:val="24"/>
        </w:rPr>
        <w:t xml:space="preserve">Gregorio Eljach Pacheco.</w:t>
      </w:r>
    </w:p>
    <w:p>
      <w:pPr>
        <w:spacing w:before="0" w:after="80"/>
      </w:pPr>
      <w:r>
        <w:rPr>
          <w:rFonts w:ascii="Arial" w:cs="Arial" w:eastAsia="Arial" w:hAnsi="Arial"/>
          <w:sz w:val="24"/>
          <w:szCs w:val="24"/>
        </w:rPr>
        <w:t xml:space="preserve">The Acting President of the Honorable House of Representatives,</w:t>
      </w:r>
    </w:p>
    <w:p>
      <w:pPr>
        <w:spacing w:before="0" w:after="160"/>
      </w:pPr>
      <w:r>
        <w:rPr>
          <w:rFonts w:ascii="Arial" w:cs="Arial" w:eastAsia="Arial" w:hAnsi="Arial"/>
          <w:b/>
          <w:bCs/>
          <w:sz w:val="24"/>
          <w:szCs w:val="24"/>
        </w:rPr>
        <w:t xml:space="preserve">Lina María Barrera Rueda.</w:t>
      </w:r>
    </w:p>
    <w:p>
      <w:pPr>
        <w:spacing w:before="0" w:after="80"/>
      </w:pPr>
      <w:r>
        <w:rPr>
          <w:rFonts w:ascii="Arial" w:cs="Arial" w:eastAsia="Arial" w:hAnsi="Arial"/>
          <w:sz w:val="24"/>
          <w:szCs w:val="24"/>
        </w:rPr>
        <w:t xml:space="preserve">The Secretary General of the Honorable House of Representatives,</w:t>
      </w:r>
    </w:p>
    <w:p>
      <w:pPr>
        <w:spacing w:before="0" w:after="280"/>
      </w:pPr>
      <w:r>
        <w:rPr>
          <w:rFonts w:ascii="Arial" w:cs="Arial" w:eastAsia="Arial" w:hAnsi="Arial"/>
          <w:b/>
          <w:bCs/>
          <w:sz w:val="24"/>
          <w:szCs w:val="24"/>
        </w:rPr>
        <w:t xml:space="preserve">Jorge Humberto Mantilla Serrano.</w:t>
      </w:r>
    </w:p>
    <w:p>
      <w:pPr>
        <w:spacing w:before="0" w:after="160"/>
      </w:pPr>
      <w:r>
        <w:rPr>
          <w:rFonts w:ascii="Arial" w:cs="Arial" w:eastAsia="Arial" w:hAnsi="Arial"/>
          <w:b/>
          <w:bCs/>
          <w:caps/>
          <w:sz w:val="24"/>
          <w:szCs w:val="24"/>
        </w:rPr>
        <w:t xml:space="preserve">REPUBLIC OF COLOMBIA – NATIONAL GOVERNMENT</w:t>
      </w:r>
    </w:p>
    <w:p>
      <w:pPr>
        <w:spacing w:before="0" w:after="160"/>
      </w:pPr>
      <w:r>
        <w:rPr>
          <w:rFonts w:ascii="Arial" w:cs="Arial" w:eastAsia="Arial" w:hAnsi="Arial"/>
          <w:sz w:val="24"/>
          <w:szCs w:val="24"/>
        </w:rPr>
        <w:t xml:space="preserve">Let it be published and complied with.</w:t>
      </w:r>
    </w:p>
    <w:p>
      <w:pPr>
        <w:spacing w:before="0" w:after="160"/>
      </w:pPr>
      <w:r>
        <w:rPr>
          <w:rFonts w:ascii="Arial" w:cs="Arial" w:eastAsia="Arial" w:hAnsi="Arial"/>
          <w:sz w:val="24"/>
          <w:szCs w:val="24"/>
        </w:rPr>
        <w:t xml:space="preserve">Given in Bogotá, D.C., on July 12, 2018.</w:t>
      </w:r>
    </w:p>
    <w:p>
      <w:pPr>
        <w:spacing w:before="0" w:after="80"/>
      </w:pPr>
      <w:r>
        <w:rPr>
          <w:rFonts w:ascii="Arial" w:cs="Arial" w:eastAsia="Arial" w:hAnsi="Arial"/>
          <w:b/>
          <w:bCs/>
          <w:sz w:val="24"/>
          <w:szCs w:val="24"/>
        </w:rPr>
        <w:t xml:space="preserve">JUAN MANUEL SANTOS CALDERÓN</w:t>
      </w:r>
    </w:p>
    <w:p>
      <w:pPr>
        <w:spacing w:before="0" w:after="80"/>
      </w:pPr>
      <w:r>
        <w:rPr>
          <w:rFonts w:ascii="Arial" w:cs="Arial" w:eastAsia="Arial" w:hAnsi="Arial"/>
          <w:sz w:val="24"/>
          <w:szCs w:val="24"/>
        </w:rPr>
        <w:t xml:space="preserve">The Minister of Justice and Law,</w:t>
      </w:r>
    </w:p>
    <w:p>
      <w:pPr>
        <w:spacing w:before="0" w:after="160"/>
      </w:pPr>
      <w:r>
        <w:rPr>
          <w:rFonts w:ascii="Arial" w:cs="Arial" w:eastAsia="Arial" w:hAnsi="Arial"/>
          <w:b/>
          <w:bCs/>
          <w:sz w:val="24"/>
          <w:szCs w:val="24"/>
        </w:rPr>
        <w:t xml:space="preserve">Enrique Gil Botero.</w:t>
      </w:r>
    </w:p>
    <w:p>
      <w:pPr>
        <w:spacing w:before="0" w:after="80"/>
      </w:pPr>
      <w:r>
        <w:rPr>
          <w:rFonts w:ascii="Arial" w:cs="Arial" w:eastAsia="Arial" w:hAnsi="Arial"/>
          <w:sz w:val="24"/>
          <w:szCs w:val="24"/>
        </w:rPr>
        <w:t xml:space="preserve">The Acting Director of the Administrative Department for Social Prosperity,</w:t>
      </w:r>
    </w:p>
    <w:p>
      <w:pPr>
        <w:spacing w:before="0" w:after="400"/>
      </w:pPr>
      <w:r>
        <w:rPr>
          <w:rFonts w:ascii="Arial" w:cs="Arial" w:eastAsia="Arial" w:hAnsi="Arial"/>
          <w:b/>
          <w:bCs/>
          <w:sz w:val="24"/>
          <w:szCs w:val="24"/>
        </w:rPr>
        <w:t xml:space="preserve">Nidia Margarita Palomo Vargas.</w:t>
      </w:r>
    </w:p>
    <w:p>
      <w:pPr>
        <w:spacing w:before="0" w:after="0"/>
      </w:pPr>
      <w:r>
        <w:rPr>
          <w:rFonts w:ascii="Arial" w:cs="Arial" w:eastAsia="Arial" w:hAnsi="Arial"/>
          <w:i/>
          <w:iCs/>
          <w:color w:val="666666"/>
          <w:sz w:val="20"/>
          <w:szCs w:val="20"/>
        </w:rPr>
        <w:t xml:space="preserve">Provisions analyzed by Avance Jurídico Casa Editorial Ltda. – Family Welfare Law – ISBN 978-958-98873-3-2 – Last updated: December 31, 2023 (Official Gazette No. 52,604 – December 9, 2023)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2026-03-20T16:07:36.742Z</dcterms:created>
  <dcterms:modified xsi:type="dcterms:W3CDTF">2026-03-20T16:07:36.743Z</dcterms:modified>
</cp:coreProperties>
</file>

<file path=docProps/custom.xml><?xml version="1.0" encoding="utf-8"?>
<Properties xmlns="http://schemas.openxmlformats.org/officeDocument/2006/custom-properties" xmlns:vt="http://schemas.openxmlformats.org/officeDocument/2006/docPropsVTypes"/>
</file>