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i/>
          <w:iCs/>
          <w:color w:val="555555"/>
          <w:sz w:val="22"/>
          <w:szCs w:val="22"/>
        </w:rPr>
        <w:t xml:space="preserve">“Sesquicentennial of the National Epic: 1864–1870”</w:t>
      </w:r>
    </w:p>
    <w:p>
      <w:pPr>
        <w:spacing w:before="0" w:after="80"/>
        <w:jc w:val="center"/>
      </w:pPr>
      <w:r>
        <w:rPr>
          <w:rFonts w:ascii="Arial" w:cs="Arial" w:eastAsia="Arial" w:hAnsi="Arial"/>
          <w:b/>
          <w:bCs/>
          <w:sz w:val="28"/>
          <w:szCs w:val="28"/>
        </w:rPr>
        <w:t xml:space="preserve">LEGISLATIVE BRANCH</w:t>
      </w:r>
    </w:p>
    <w:p>
      <w:pPr>
        <w:spacing w:before="0" w:after="80"/>
        <w:jc w:val="center"/>
      </w:pPr>
      <w:r>
        <w:rPr>
          <w:rFonts w:ascii="Arial" w:cs="Arial" w:eastAsia="Arial" w:hAnsi="Arial"/>
          <w:b/>
          <w:bCs/>
          <w:sz w:val="26"/>
          <w:szCs w:val="26"/>
        </w:rPr>
        <w:t xml:space="preserve">LAW No. 6572</w:t>
      </w:r>
    </w:p>
    <w:p>
      <w:pPr>
        <w:spacing w:before="0" w:after="200"/>
        <w:jc w:val="center"/>
      </w:pPr>
      <w:r>
        <w:rPr>
          <w:rFonts w:ascii="Arial" w:cs="Arial" w:eastAsia="Arial" w:hAnsi="Arial"/>
          <w:b/>
          <w:bCs/>
          <w:color w:val="1F3864"/>
          <w:sz w:val="24"/>
          <w:szCs w:val="24"/>
        </w:rPr>
        <w:t xml:space="preserve">CREATING THE NATIONAL REGISTRY OF SEXUAL AGGRESSORS OF CHILDREN AND ADOLESCENTS AND THE GENETIC BANK</w:t>
      </w:r>
    </w:p>
    <w:p>
      <w:pPr>
        <w:spacing w:before="0" w:after="200"/>
        <w:jc w:val="center"/>
      </w:pPr>
      <w:r>
        <w:rPr>
          <w:rFonts w:ascii="Arial" w:cs="Arial" w:eastAsia="Arial" w:hAnsi="Arial"/>
          <w:b/>
          <w:bCs/>
          <w:sz w:val="24"/>
          <w:szCs w:val="24"/>
        </w:rPr>
        <w:t xml:space="preserve">THE CONGRESS OF THE PARAGUAYAN NATION ENACTS WITH THE FORCE OF LAW:</w:t>
      </w:r>
    </w:p>
    <w:p>
      <w:pPr>
        <w:spacing w:before="360" w:after="80"/>
        <w:jc w:val="center"/>
      </w:pPr>
      <w:r>
        <w:rPr>
          <w:rFonts w:ascii="Arial" w:cs="Arial" w:eastAsia="Arial" w:hAnsi="Arial"/>
          <w:b/>
          <w:bCs/>
          <w:color w:val="1F3864"/>
          <w:sz w:val="26"/>
          <w:szCs w:val="26"/>
        </w:rPr>
        <w:t xml:space="preserve">CHAPTER I</w:t>
      </w:r>
    </w:p>
    <w:p>
      <w:pPr>
        <w:spacing w:before="0" w:after="200"/>
        <w:jc w:val="center"/>
      </w:pPr>
      <w:r>
        <w:rPr>
          <w:rFonts w:ascii="Arial" w:cs="Arial" w:eastAsia="Arial" w:hAnsi="Arial"/>
          <w:b/>
          <w:bCs/>
          <w:color w:val="1F3864"/>
          <w:sz w:val="24"/>
          <w:szCs w:val="24"/>
        </w:rPr>
        <w:t xml:space="preserve">GENERAL PROVISIONS</w:t>
      </w:r>
    </w:p>
    <w:p>
      <w:pPr>
        <w:spacing w:before="240" w:after="80"/>
      </w:pPr>
      <w:r>
        <w:rPr>
          <w:rFonts w:ascii="Arial" w:cs="Arial" w:eastAsia="Arial" w:hAnsi="Arial"/>
          <w:b/>
          <w:bCs/>
          <w:sz w:val="24"/>
          <w:szCs w:val="24"/>
        </w:rPr>
        <w:t xml:space="preserve">Article 1. — Purpose</w:t>
      </w:r>
    </w:p>
    <w:p>
      <w:pPr>
        <w:spacing w:before="0" w:after="160"/>
      </w:pPr>
      <w:r>
        <w:rPr>
          <w:rFonts w:ascii="Arial" w:cs="Arial" w:eastAsia="Arial" w:hAnsi="Arial"/>
          <w:sz w:val="24"/>
          <w:szCs w:val="24"/>
        </w:rPr>
        <w:t xml:space="preserve">The purpose of this Law is the creation of the National Registry of Sexual Aggressors of Children and Adolescents and the Genetic Bank, with the aim of establishing mechanisms to protect the right of children and adolescents to a life free from violence against sexual aggressors who have committed the punishable acts set forth in this Law, and to provide tools that facilitate criminal investigation and prosecution, taking into account their degree of dangerousness, in order to prevent recidivism.</w:t>
      </w:r>
    </w:p>
    <w:p>
      <w:pPr>
        <w:spacing w:before="240" w:after="80"/>
      </w:pPr>
      <w:r>
        <w:rPr>
          <w:rFonts w:ascii="Arial" w:cs="Arial" w:eastAsia="Arial" w:hAnsi="Arial"/>
          <w:b/>
          <w:bCs/>
          <w:sz w:val="24"/>
          <w:szCs w:val="24"/>
        </w:rPr>
        <w:t xml:space="preserve">Article 2. — Scope of Application</w:t>
      </w:r>
    </w:p>
    <w:p>
      <w:pPr>
        <w:spacing w:before="0" w:after="160"/>
      </w:pPr>
      <w:r>
        <w:rPr>
          <w:rFonts w:ascii="Arial" w:cs="Arial" w:eastAsia="Arial" w:hAnsi="Arial"/>
          <w:sz w:val="24"/>
          <w:szCs w:val="24"/>
        </w:rPr>
        <w:t xml:space="preserve">This Law applies throughout the national territory, without prejudice to the provisions of international treaties on this subject matter ratified and exchanged by the Republic of Paraguay.</w:t>
      </w:r>
    </w:p>
    <w:p>
      <w:pPr>
        <w:spacing w:before="240" w:after="80"/>
      </w:pPr>
      <w:r>
        <w:rPr>
          <w:rFonts w:ascii="Arial" w:cs="Arial" w:eastAsia="Arial" w:hAnsi="Arial"/>
          <w:b/>
          <w:bCs/>
          <w:sz w:val="24"/>
          <w:szCs w:val="24"/>
        </w:rPr>
        <w:t xml:space="preserve">Article 3. — Definition of Sexual Aggressor</w:t>
      </w:r>
    </w:p>
    <w:p>
      <w:pPr>
        <w:spacing w:before="0" w:after="160"/>
      </w:pPr>
      <w:r>
        <w:rPr>
          <w:rFonts w:ascii="Arial" w:cs="Arial" w:eastAsia="Arial" w:hAnsi="Arial"/>
          <w:sz w:val="24"/>
          <w:szCs w:val="24"/>
        </w:rPr>
        <w:t xml:space="preserve">For purposes of this Law, a sexual aggressor is understood to be any person who has been convicted by a final and enforceable judicial judgment for the attempt or commission of acts against sexual integrity as set forth in Article 6 of this Law, perpetrated against children and adolescents under 18 (eighteen) years of age.</w:t>
      </w:r>
    </w:p>
    <w:p>
      <w:pPr>
        <w:spacing w:before="240" w:after="80"/>
      </w:pPr>
      <w:r>
        <w:rPr>
          <w:rFonts w:ascii="Arial" w:cs="Arial" w:eastAsia="Arial" w:hAnsi="Arial"/>
          <w:b/>
          <w:bCs/>
          <w:sz w:val="24"/>
          <w:szCs w:val="24"/>
        </w:rPr>
        <w:t xml:space="preserve">Article 4. — Guiding Principles</w:t>
      </w:r>
    </w:p>
    <w:p>
      <w:pPr>
        <w:spacing w:before="0" w:after="160"/>
      </w:pPr>
      <w:r>
        <w:rPr>
          <w:rFonts w:ascii="Arial" w:cs="Arial" w:eastAsia="Arial" w:hAnsi="Arial"/>
          <w:sz w:val="24"/>
          <w:szCs w:val="24"/>
        </w:rPr>
        <w:t xml:space="preserve">The following principles shall be observed in the application of this Law:</w:t>
      </w:r>
    </w:p>
    <w:p>
      <w:pPr>
        <w:spacing w:before="100" w:after="60"/>
        <w:ind w:left="360"/>
      </w:pPr>
      <w:r>
        <w:rPr>
          <w:rFonts w:ascii="Arial" w:cs="Arial" w:eastAsia="Arial" w:hAnsi="Arial"/>
          <w:b/>
          <w:bCs/>
          <w:sz w:val="24"/>
          <w:szCs w:val="24"/>
        </w:rPr>
        <w:t xml:space="preserve">1.  Respect for human dignity: </w:t>
      </w:r>
      <w:r>
        <w:rPr>
          <w:rFonts w:ascii="Arial" w:cs="Arial" w:eastAsia="Arial" w:hAnsi="Arial"/>
          <w:sz w:val="24"/>
          <w:szCs w:val="24"/>
        </w:rPr>
        <w:t xml:space="preserve">Persons subject to inclusion in the National Registry of Sexual Aggressors shall be treated with respect for their dignity, avoiding stigmatization.</w:t>
      </w:r>
    </w:p>
    <w:p>
      <w:pPr>
        <w:spacing w:before="60" w:after="60"/>
        <w:ind w:left="360"/>
      </w:pPr>
      <w:r>
        <w:rPr>
          <w:rFonts w:ascii="Arial" w:cs="Arial" w:eastAsia="Arial" w:hAnsi="Arial"/>
          <w:b/>
          <w:bCs/>
          <w:sz w:val="24"/>
          <w:szCs w:val="24"/>
        </w:rPr>
        <w:t xml:space="preserve">2.  Right to privacy: </w:t>
      </w:r>
      <w:r>
        <w:rPr>
          <w:rFonts w:ascii="Arial" w:cs="Arial" w:eastAsia="Arial" w:hAnsi="Arial"/>
          <w:sz w:val="24"/>
          <w:szCs w:val="24"/>
        </w:rPr>
        <w:t xml:space="preserve">All persons enjoy the right to have their privacy respected. Under no circumstances shall the name of victims be revealed in documentation issued by the Registry. The convicted sexual aggressor is guaranteed that the contents of the National Registry of Sexual Aggressors, as well as any certificate issued by it, shall not be made public, except in the cases of the exceptions provided for in this Law.</w:t>
      </w:r>
    </w:p>
    <w:p>
      <w:pPr>
        <w:spacing w:before="60" w:after="60"/>
        <w:ind w:left="360"/>
      </w:pPr>
      <w:r>
        <w:rPr>
          <w:rFonts w:ascii="Arial" w:cs="Arial" w:eastAsia="Arial" w:hAnsi="Arial"/>
          <w:b/>
          <w:bCs/>
          <w:sz w:val="24"/>
          <w:szCs w:val="24"/>
        </w:rPr>
        <w:t xml:space="preserve">3.  Right to integrity: </w:t>
      </w:r>
      <w:r>
        <w:rPr>
          <w:rFonts w:ascii="Arial" w:cs="Arial" w:eastAsia="Arial" w:hAnsi="Arial"/>
          <w:sz w:val="24"/>
          <w:szCs w:val="24"/>
        </w:rPr>
        <w:t xml:space="preserve">Registration shall only occur when there is a final and enforceable conviction of the sexual aggressor for the commission of one of the punishable acts established in this Law.</w:t>
      </w:r>
    </w:p>
    <w:p>
      <w:pPr>
        <w:spacing w:before="60" w:after="60"/>
        <w:ind w:left="360"/>
      </w:pPr>
      <w:r>
        <w:rPr>
          <w:rFonts w:ascii="Arial" w:cs="Arial" w:eastAsia="Arial" w:hAnsi="Arial"/>
          <w:b/>
          <w:bCs/>
          <w:sz w:val="24"/>
          <w:szCs w:val="24"/>
        </w:rPr>
        <w:t xml:space="preserve">4.  Right to social reintegration: </w:t>
      </w:r>
      <w:r>
        <w:rPr>
          <w:rFonts w:ascii="Arial" w:cs="Arial" w:eastAsia="Arial" w:hAnsi="Arial"/>
          <w:sz w:val="24"/>
          <w:szCs w:val="24"/>
        </w:rPr>
        <w:t xml:space="preserve">All persons who have been convicted by a final and enforceable judgment have the right to social reintegration.</w:t>
      </w:r>
    </w:p>
    <w:p>
      <w:pPr>
        <w:spacing w:before="60" w:after="160"/>
        <w:ind w:left="360"/>
      </w:pPr>
      <w:r>
        <w:rPr>
          <w:rFonts w:ascii="Arial" w:cs="Arial" w:eastAsia="Arial" w:hAnsi="Arial"/>
          <w:b/>
          <w:bCs/>
          <w:sz w:val="24"/>
          <w:szCs w:val="24"/>
        </w:rPr>
        <w:t xml:space="preserve">5.  Best interest of the child and adolescent: </w:t>
      </w:r>
      <w:r>
        <w:rPr>
          <w:rFonts w:ascii="Arial" w:cs="Arial" w:eastAsia="Arial" w:hAnsi="Arial"/>
          <w:sz w:val="24"/>
          <w:szCs w:val="24"/>
        </w:rPr>
        <w:t xml:space="preserve">This is a mandatory prescription directed at public or private authorities and entities that must make a decision concerning a child or adolescent, which requires weighing the fact that, if a legal provision admits more than one interpretation or a conflict of rights arises, the measure that most effectively satisfies the full enjoyment and exercise of their rights shall be chosen.</w:t>
      </w:r>
    </w:p>
    <w:p>
      <w:pPr>
        <w:spacing w:before="240" w:after="80"/>
      </w:pPr>
      <w:r>
        <w:rPr>
          <w:rFonts w:ascii="Arial" w:cs="Arial" w:eastAsia="Arial" w:hAnsi="Arial"/>
          <w:b/>
          <w:bCs/>
          <w:sz w:val="24"/>
          <w:szCs w:val="24"/>
        </w:rPr>
        <w:t xml:space="preserve">Article 5. — Purpose</w:t>
      </w:r>
    </w:p>
    <w:p>
      <w:pPr>
        <w:spacing w:before="0" w:after="160"/>
      </w:pPr>
      <w:r>
        <w:rPr>
          <w:rFonts w:ascii="Arial" w:cs="Arial" w:eastAsia="Arial" w:hAnsi="Arial"/>
          <w:sz w:val="24"/>
          <w:szCs w:val="24"/>
        </w:rPr>
        <w:t xml:space="preserve">The purposes of this Law are:</w:t>
      </w:r>
    </w:p>
    <w:p>
      <w:pPr>
        <w:spacing w:before="40" w:after="60"/>
        <w:ind w:left="720"/>
      </w:pPr>
      <w:r>
        <w:rPr>
          <w:rFonts w:ascii="Arial" w:cs="Arial" w:eastAsia="Arial" w:hAnsi="Arial"/>
          <w:sz w:val="24"/>
          <w:szCs w:val="24"/>
        </w:rPr>
        <w:t xml:space="preserve">a)  To prevent direct or indirect contact between children and adolescents and persons convicted of the sexual offenses described in this Law.</w:t>
      </w:r>
    </w:p>
    <w:p>
      <w:pPr>
        <w:spacing w:before="40" w:after="60"/>
        <w:ind w:left="720"/>
      </w:pPr>
      <w:r>
        <w:rPr>
          <w:rFonts w:ascii="Arial" w:cs="Arial" w:eastAsia="Arial" w:hAnsi="Arial"/>
          <w:sz w:val="24"/>
          <w:szCs w:val="24"/>
        </w:rPr>
        <w:t xml:space="preserve">b)  To promote national and international cooperation against the sexual offenses set forth in this Law, for collaboration and interaction between public and private institutions.</w:t>
      </w:r>
    </w:p>
    <w:p>
      <w:pPr>
        <w:spacing w:before="40" w:after="60"/>
        <w:ind w:left="720"/>
      </w:pPr>
      <w:r>
        <w:rPr>
          <w:rFonts w:ascii="Arial" w:cs="Arial" w:eastAsia="Arial" w:hAnsi="Arial"/>
          <w:sz w:val="24"/>
          <w:szCs w:val="24"/>
        </w:rPr>
        <w:t xml:space="preserve">c)  To provide tools for the investigation and prosecution of sexual offenses.</w:t>
      </w:r>
    </w:p>
    <w:p>
      <w:pPr>
        <w:spacing w:before="40" w:after="60"/>
        <w:ind w:left="720"/>
      </w:pPr>
      <w:r>
        <w:rPr>
          <w:rFonts w:ascii="Arial" w:cs="Arial" w:eastAsia="Arial" w:hAnsi="Arial"/>
          <w:sz w:val="24"/>
          <w:szCs w:val="24"/>
        </w:rPr>
        <w:t xml:space="preserve">d)  To establish the scope of the obligations imposed by this Law on the Courts with respect to the registration of sexual aggressors and to set deadlines.</w:t>
      </w:r>
    </w:p>
    <w:p>
      <w:pPr>
        <w:spacing w:before="40" w:after="60"/>
        <w:ind w:left="720"/>
      </w:pPr>
      <w:r>
        <w:rPr>
          <w:rFonts w:ascii="Arial" w:cs="Arial" w:eastAsia="Arial" w:hAnsi="Arial"/>
          <w:sz w:val="24"/>
          <w:szCs w:val="24"/>
        </w:rPr>
        <w:t xml:space="preserve">e)  To establish the competent bodies to coordinate actions aimed at compliance with this Law.</w:t>
      </w:r>
    </w:p>
    <w:p>
      <w:pPr>
        <w:spacing w:before="240" w:after="80"/>
      </w:pPr>
      <w:r>
        <w:rPr>
          <w:rFonts w:ascii="Arial" w:cs="Arial" w:eastAsia="Arial" w:hAnsi="Arial"/>
          <w:b/>
          <w:bCs/>
          <w:sz w:val="24"/>
          <w:szCs w:val="24"/>
        </w:rPr>
        <w:t xml:space="preserve">Article 6. — Covered Punishable Acts</w:t>
      </w:r>
    </w:p>
    <w:p>
      <w:pPr>
        <w:spacing w:before="0" w:after="160"/>
      </w:pPr>
      <w:r>
        <w:rPr>
          <w:rFonts w:ascii="Arial" w:cs="Arial" w:eastAsia="Arial" w:hAnsi="Arial"/>
          <w:sz w:val="24"/>
          <w:szCs w:val="24"/>
        </w:rPr>
        <w:t xml:space="preserve">For purposes of the application of this Law, the following persons are covered: those convicted of sexual offenses committed against children and adolescents, as set forth in Law No. 1160/1997 “PENAL CODE” and its amendments:</w:t>
      </w:r>
    </w:p>
    <w:p>
      <w:pPr>
        <w:spacing w:before="40" w:after="60"/>
        <w:ind w:left="720"/>
      </w:pPr>
      <w:r>
        <w:rPr>
          <w:rFonts w:ascii="Arial" w:cs="Arial" w:eastAsia="Arial" w:hAnsi="Arial"/>
          <w:sz w:val="24"/>
          <w:szCs w:val="24"/>
        </w:rPr>
        <w:t xml:space="preserve">Article 128 — Sexual coercion</w:t>
      </w:r>
    </w:p>
    <w:p>
      <w:pPr>
        <w:spacing w:before="40" w:after="60"/>
        <w:ind w:left="720"/>
      </w:pPr>
      <w:r>
        <w:rPr>
          <w:rFonts w:ascii="Arial" w:cs="Arial" w:eastAsia="Arial" w:hAnsi="Arial"/>
          <w:sz w:val="24"/>
          <w:szCs w:val="24"/>
        </w:rPr>
        <w:t xml:space="preserve">Article 129 — Sexual abuse of defenseless persons</w:t>
      </w:r>
    </w:p>
    <w:p>
      <w:pPr>
        <w:spacing w:before="40" w:after="60"/>
        <w:ind w:left="720"/>
      </w:pPr>
      <w:r>
        <w:rPr>
          <w:rFonts w:ascii="Arial" w:cs="Arial" w:eastAsia="Arial" w:hAnsi="Arial"/>
          <w:sz w:val="24"/>
          <w:szCs w:val="24"/>
        </w:rPr>
        <w:t xml:space="preserve">Article 131 — Sexual abuse of institutionalized persons</w:t>
      </w:r>
    </w:p>
    <w:p>
      <w:pPr>
        <w:spacing w:before="40" w:after="60"/>
        <w:ind w:left="720"/>
      </w:pPr>
      <w:r>
        <w:rPr>
          <w:rFonts w:ascii="Arial" w:cs="Arial" w:eastAsia="Arial" w:hAnsi="Arial"/>
          <w:sz w:val="24"/>
          <w:szCs w:val="24"/>
        </w:rPr>
        <w:t xml:space="preserve">Article 133 — Sexual harassment</w:t>
      </w:r>
    </w:p>
    <w:p>
      <w:pPr>
        <w:spacing w:before="40" w:after="60"/>
        <w:ind w:left="720"/>
      </w:pPr>
      <w:r>
        <w:rPr>
          <w:rFonts w:ascii="Arial" w:cs="Arial" w:eastAsia="Arial" w:hAnsi="Arial"/>
          <w:sz w:val="24"/>
          <w:szCs w:val="24"/>
        </w:rPr>
        <w:t xml:space="preserve">Article 135 — Sexual abuse of children</w:t>
      </w:r>
    </w:p>
    <w:p>
      <w:pPr>
        <w:spacing w:before="40" w:after="60"/>
        <w:ind w:left="720"/>
      </w:pPr>
      <w:r>
        <w:rPr>
          <w:rFonts w:ascii="Arial" w:cs="Arial" w:eastAsia="Arial" w:hAnsi="Arial"/>
          <w:sz w:val="24"/>
          <w:szCs w:val="24"/>
        </w:rPr>
        <w:t xml:space="preserve">Article 136 — Sexual abuse of persons under guardianship</w:t>
      </w:r>
    </w:p>
    <w:p>
      <w:pPr>
        <w:spacing w:before="40" w:after="60"/>
        <w:ind w:left="720"/>
      </w:pPr>
      <w:r>
        <w:rPr>
          <w:rFonts w:ascii="Arial" w:cs="Arial" w:eastAsia="Arial" w:hAnsi="Arial"/>
          <w:sz w:val="24"/>
          <w:szCs w:val="24"/>
        </w:rPr>
        <w:t xml:space="preserve">Article 137, paragraph 1 — Statutory rape</w:t>
      </w:r>
    </w:p>
    <w:p>
      <w:pPr>
        <w:spacing w:before="40" w:after="60"/>
        <w:ind w:left="720"/>
      </w:pPr>
      <w:r>
        <w:rPr>
          <w:rFonts w:ascii="Arial" w:cs="Arial" w:eastAsia="Arial" w:hAnsi="Arial"/>
          <w:sz w:val="24"/>
          <w:szCs w:val="24"/>
        </w:rPr>
        <w:t xml:space="preserve">Article 138 — Homosexual acts with minors</w:t>
      </w:r>
    </w:p>
    <w:p>
      <w:pPr>
        <w:spacing w:before="40" w:after="60"/>
        <w:ind w:left="720"/>
      </w:pPr>
      <w:r>
        <w:rPr>
          <w:rFonts w:ascii="Arial" w:cs="Arial" w:eastAsia="Arial" w:hAnsi="Arial"/>
          <w:sz w:val="24"/>
          <w:szCs w:val="24"/>
        </w:rPr>
        <w:t xml:space="preserve">Article 139 — Procuring/pimping</w:t>
      </w:r>
    </w:p>
    <w:p>
      <w:pPr>
        <w:spacing w:before="0" w:after="160"/>
      </w:pPr>
      <w:r>
        <w:rPr>
          <w:rFonts w:ascii="Arial" w:cs="Arial" w:eastAsia="Arial" w:hAnsi="Arial"/>
          <w:sz w:val="24"/>
          <w:szCs w:val="24"/>
        </w:rPr>
        <w:t xml:space="preserve">Also covered are persons convicted under: Law No. 4788/2012 “COMPREHENSIVE LAW AGAINST HUMAN TRAFFICKING”; and Law No. 2861/2006 “SUPPRESSING THE TRADE AND COMMERCIAL OR NON-COMMERCIAL DISTRIBUTION OF PORNOGRAPHIC MATERIAL USING THE IMAGE OR OTHER REPRESENTATION OF MINORS OR INCAPACITATED PERSONS.”</w:t>
      </w:r>
    </w:p>
    <w:p>
      <w:pPr>
        <w:pBdr>
          <w:bottom w:val="single" w:color="AAAAAA" w:sz="4"/>
        </w:pBdr>
        <w:spacing w:before="200" w:after="200"/>
      </w:pPr>
    </w:p>
    <w:p>
      <w:pPr>
        <w:spacing w:before="360" w:after="80"/>
        <w:jc w:val="center"/>
      </w:pPr>
      <w:r>
        <w:rPr>
          <w:rFonts w:ascii="Arial" w:cs="Arial" w:eastAsia="Arial" w:hAnsi="Arial"/>
          <w:b/>
          <w:bCs/>
          <w:color w:val="1F3864"/>
          <w:sz w:val="26"/>
          <w:szCs w:val="26"/>
        </w:rPr>
        <w:t xml:space="preserve">CHAPTER II</w:t>
      </w:r>
    </w:p>
    <w:p>
      <w:pPr>
        <w:spacing w:before="0" w:after="200"/>
        <w:jc w:val="center"/>
      </w:pPr>
      <w:r>
        <w:rPr>
          <w:rFonts w:ascii="Arial" w:cs="Arial" w:eastAsia="Arial" w:hAnsi="Arial"/>
          <w:b/>
          <w:bCs/>
          <w:color w:val="1F3864"/>
          <w:sz w:val="24"/>
          <w:szCs w:val="24"/>
        </w:rPr>
        <w:t xml:space="preserve">National Registry of Sexual Aggressors of Children and Adolescents</w:t>
      </w:r>
    </w:p>
    <w:p>
      <w:pPr>
        <w:spacing w:before="240" w:after="80"/>
      </w:pPr>
      <w:r>
        <w:rPr>
          <w:rFonts w:ascii="Arial" w:cs="Arial" w:eastAsia="Arial" w:hAnsi="Arial"/>
          <w:b/>
          <w:bCs/>
          <w:sz w:val="24"/>
          <w:szCs w:val="24"/>
        </w:rPr>
        <w:t xml:space="preserve">Article 7. — National Registry of Sexual Aggressors of Children and Adolescents</w:t>
      </w:r>
    </w:p>
    <w:p>
      <w:pPr>
        <w:spacing w:before="0" w:after="160"/>
      </w:pPr>
      <w:r>
        <w:rPr>
          <w:rFonts w:ascii="Arial" w:cs="Arial" w:eastAsia="Arial" w:hAnsi="Arial"/>
          <w:sz w:val="24"/>
          <w:szCs w:val="24"/>
        </w:rPr>
        <w:t xml:space="preserve">The National Registry of Sexual Aggressors of Children and Adolescents is hereby created, under the authority of the Judicial Branch, in which complete information on persons convicted by final and enforceable judgment is registered, in accordance with the purpose of this Law.</w:t>
      </w:r>
    </w:p>
    <w:p>
      <w:pPr>
        <w:spacing w:before="240" w:after="80"/>
      </w:pPr>
      <w:r>
        <w:rPr>
          <w:rFonts w:ascii="Arial" w:cs="Arial" w:eastAsia="Arial" w:hAnsi="Arial"/>
          <w:b/>
          <w:bCs/>
          <w:sz w:val="24"/>
          <w:szCs w:val="24"/>
        </w:rPr>
        <w:t xml:space="preserve">Article 8. — Nature</w:t>
      </w:r>
    </w:p>
    <w:p>
      <w:pPr>
        <w:spacing w:before="0" w:after="160"/>
      </w:pPr>
      <w:r>
        <w:rPr>
          <w:rFonts w:ascii="Arial" w:cs="Arial" w:eastAsia="Arial" w:hAnsi="Arial"/>
          <w:sz w:val="24"/>
          <w:szCs w:val="24"/>
        </w:rPr>
        <w:t xml:space="preserve">The National Registry of Sexual Aggressors of Children and Adolescents is a free-of-charge, confidential information system in which the data of sexual aggressors is recorded, including their identity, genetic profile, penalties, and security measures imposed for the commission of any sexual offense, in an updated and real-time manner.</w:t>
      </w:r>
    </w:p>
    <w:p>
      <w:pPr>
        <w:spacing w:before="240" w:after="80"/>
      </w:pPr>
      <w:r>
        <w:rPr>
          <w:rFonts w:ascii="Arial" w:cs="Arial" w:eastAsia="Arial" w:hAnsi="Arial"/>
          <w:b/>
          <w:bCs/>
          <w:sz w:val="24"/>
          <w:szCs w:val="24"/>
        </w:rPr>
        <w:t xml:space="preserve">Article 9. — Levels of Access to Data Contained in the National Registry of Sexual Aggressors of Children and Adolescents</w:t>
      </w:r>
    </w:p>
    <w:p>
      <w:pPr>
        <w:spacing w:before="0" w:after="160"/>
      </w:pPr>
      <w:r>
        <w:rPr>
          <w:rFonts w:ascii="Arial" w:cs="Arial" w:eastAsia="Arial" w:hAnsi="Arial"/>
          <w:sz w:val="24"/>
          <w:szCs w:val="24"/>
        </w:rPr>
        <w:t xml:space="preserve">The Judicial Branch shall authorize access to the information contained in the National Registry of Sexual Aggressors of Children and Adolescents, in order to fulfill the purposes and objectives of the Registry.</w:t>
      </w:r>
    </w:p>
    <w:p>
      <w:pPr>
        <w:spacing w:before="0" w:after="160"/>
      </w:pPr>
      <w:r>
        <w:rPr>
          <w:rFonts w:ascii="Arial" w:cs="Arial" w:eastAsia="Arial" w:hAnsi="Arial"/>
          <w:sz w:val="24"/>
          <w:szCs w:val="24"/>
        </w:rPr>
        <w:t xml:space="preserve">Complete and direct access to Registry information is reserved to the following authorities:</w:t>
      </w:r>
    </w:p>
    <w:p>
      <w:pPr>
        <w:spacing w:before="40" w:after="60"/>
        <w:ind w:left="720"/>
      </w:pPr>
      <w:r>
        <w:rPr>
          <w:rFonts w:ascii="Arial" w:cs="Arial" w:eastAsia="Arial" w:hAnsi="Arial"/>
          <w:sz w:val="24"/>
          <w:szCs w:val="24"/>
        </w:rPr>
        <w:t xml:space="preserve">a)  The Judicial Branch, through judges and courts of any jurisdictional level, for use in proceedings and actions before them within their respective jurisdictions.</w:t>
      </w:r>
    </w:p>
    <w:p>
      <w:pPr>
        <w:spacing w:before="40" w:after="60"/>
        <w:ind w:left="720"/>
      </w:pPr>
      <w:r>
        <w:rPr>
          <w:rFonts w:ascii="Arial" w:cs="Arial" w:eastAsia="Arial" w:hAnsi="Arial"/>
          <w:sz w:val="24"/>
          <w:szCs w:val="24"/>
        </w:rPr>
        <w:t xml:space="preserve">b)  The Public Prosecutor’s Office, through the Attorney General of the State, Deputy Prosecutors, and Prosecutorial Agents, to the extent necessary for the performance of their legally assigned functions.</w:t>
      </w:r>
    </w:p>
    <w:p>
      <w:pPr>
        <w:spacing w:before="40" w:after="60"/>
        <w:ind w:left="720"/>
      </w:pPr>
      <w:r>
        <w:rPr>
          <w:rFonts w:ascii="Arial" w:cs="Arial" w:eastAsia="Arial" w:hAnsi="Arial"/>
          <w:sz w:val="24"/>
          <w:szCs w:val="24"/>
        </w:rPr>
        <w:t xml:space="preserve">c)  The National Police, through duly authorized officers, to the extent necessary for the exercise of their functions in relation to the prevention, prosecution, and monitoring of the conduct recorded in this Registry.</w:t>
      </w:r>
    </w:p>
    <w:p>
      <w:pPr>
        <w:spacing w:before="40" w:after="60"/>
        <w:ind w:left="720"/>
      </w:pPr>
      <w:r>
        <w:rPr>
          <w:rFonts w:ascii="Arial" w:cs="Arial" w:eastAsia="Arial" w:hAnsi="Arial"/>
          <w:sz w:val="24"/>
          <w:szCs w:val="24"/>
        </w:rPr>
        <w:t xml:space="preserve">d)  The registered person, to access data relating to themselves.</w:t>
      </w:r>
    </w:p>
    <w:p>
      <w:pPr>
        <w:spacing w:before="0" w:after="160"/>
      </w:pPr>
      <w:r>
        <w:rPr>
          <w:rFonts w:ascii="Arial" w:cs="Arial" w:eastAsia="Arial" w:hAnsi="Arial"/>
          <w:sz w:val="24"/>
          <w:szCs w:val="24"/>
        </w:rPr>
        <w:t xml:space="preserve">In all other cases, access shall be limited, respecting the right to privacy and the confidentiality of personal data that by its nature is sensitive. A corresponding positive or negative certificate shall be issued, as applicable, to public or private institutions that are required by this Law to request it.</w:t>
      </w:r>
    </w:p>
    <w:p>
      <w:pPr>
        <w:spacing w:before="240" w:after="80"/>
      </w:pPr>
      <w:r>
        <w:rPr>
          <w:rFonts w:ascii="Arial" w:cs="Arial" w:eastAsia="Arial" w:hAnsi="Arial"/>
          <w:b/>
          <w:bCs/>
          <w:sz w:val="24"/>
          <w:szCs w:val="24"/>
        </w:rPr>
        <w:t xml:space="preserve">Article 10. — Governing Body</w:t>
      </w:r>
    </w:p>
    <w:p>
      <w:pPr>
        <w:spacing w:before="0" w:after="160"/>
      </w:pPr>
      <w:r>
        <w:rPr>
          <w:rFonts w:ascii="Arial" w:cs="Arial" w:eastAsia="Arial" w:hAnsi="Arial"/>
          <w:sz w:val="24"/>
          <w:szCs w:val="24"/>
        </w:rPr>
        <w:t xml:space="preserve">The Judicial Branch shall be the competent authority to organize, develop, implement, administer, monitor, update, and oversee compliance with the obligations for the operation of the National Registry of Sexual Aggressors of Children and Adolescents.</w:t>
      </w:r>
    </w:p>
    <w:p>
      <w:pPr>
        <w:spacing w:before="0" w:after="160"/>
      </w:pPr>
      <w:r>
        <w:rPr>
          <w:rFonts w:ascii="Arial" w:cs="Arial" w:eastAsia="Arial" w:hAnsi="Arial"/>
          <w:sz w:val="24"/>
          <w:szCs w:val="24"/>
        </w:rPr>
        <w:t xml:space="preserve">It shall coordinate actions jointly with the other institutions mentioned in this Law, shall take the necessary measures to ensure the timely transmission of required information, as well as the accuracy, integrity, confidentiality, and accessibility of data contained in the registrations. This information shall cover convictions handed down both in the Republic of Paraguay and in other countries.</w:t>
      </w:r>
    </w:p>
    <w:p>
      <w:pPr>
        <w:spacing w:before="0" w:after="160"/>
      </w:pPr>
      <w:r>
        <w:rPr>
          <w:rFonts w:ascii="Arial" w:cs="Arial" w:eastAsia="Arial" w:hAnsi="Arial"/>
          <w:sz w:val="24"/>
          <w:szCs w:val="24"/>
        </w:rPr>
        <w:t xml:space="preserve">It shall also guarantee, with full legal effect, the authenticity and integrity of certified data and shall promote compliance with the provisions on cancellation of registrations.</w:t>
      </w:r>
    </w:p>
    <w:p>
      <w:pPr>
        <w:spacing w:before="240" w:after="80"/>
      </w:pPr>
      <w:r>
        <w:rPr>
          <w:rFonts w:ascii="Arial" w:cs="Arial" w:eastAsia="Arial" w:hAnsi="Arial"/>
          <w:b/>
          <w:bCs/>
          <w:sz w:val="24"/>
          <w:szCs w:val="24"/>
        </w:rPr>
        <w:t xml:space="preserve">Article 11. — Procedure for Inclusion in the National Registry of Sexual Aggressors of Children and Adolescents</w:t>
      </w:r>
    </w:p>
    <w:p>
      <w:pPr>
        <w:spacing w:before="0" w:after="160"/>
      </w:pPr>
      <w:r>
        <w:rPr>
          <w:rFonts w:ascii="Arial" w:cs="Arial" w:eastAsia="Arial" w:hAnsi="Arial"/>
          <w:sz w:val="24"/>
          <w:szCs w:val="24"/>
        </w:rPr>
        <w:t xml:space="preserve">Once a conviction becomes final and enforceable and all avenues of appeal are exhausted, the intervening court shall, on its own motion and immediately, transmit the information to the National Registry of Sexual Aggressors of Children and Adolescents, ordering the registration of the sexual aggressor convicted for the commission of one of the sexual offenses described in Article 6 of this Law. The Registry shall have 48 (forty-eight) hours to complete the registration.</w:t>
      </w:r>
    </w:p>
    <w:p>
      <w:pPr>
        <w:spacing w:before="0" w:after="160"/>
      </w:pPr>
      <w:r>
        <w:rPr>
          <w:rFonts w:ascii="Arial" w:cs="Arial" w:eastAsia="Arial" w:hAnsi="Arial"/>
          <w:sz w:val="24"/>
          <w:szCs w:val="24"/>
        </w:rPr>
        <w:t xml:space="preserve">The sexual aggressor is obligated to notify the intervening court, from the moment they regain their liberty or immediately in the case of alternative measures to imprisonment, of data relating to the residential address where they will reside upon release, as well as the address of their workplace, position, and name of employer. The court shall communicate this information to the Registry.</w:t>
      </w:r>
    </w:p>
    <w:p>
      <w:pPr>
        <w:spacing w:before="240" w:after="80"/>
      </w:pPr>
      <w:r>
        <w:rPr>
          <w:rFonts w:ascii="Arial" w:cs="Arial" w:eastAsia="Arial" w:hAnsi="Arial"/>
          <w:b/>
          <w:bCs/>
          <w:sz w:val="24"/>
          <w:szCs w:val="24"/>
        </w:rPr>
        <w:t xml:space="preserve">Article 12. — Contents of the National Registry of Sexual Aggressors of Children and Adolescents</w:t>
      </w:r>
    </w:p>
    <w:p>
      <w:pPr>
        <w:spacing w:before="0" w:after="160"/>
      </w:pPr>
      <w:r>
        <w:rPr>
          <w:rFonts w:ascii="Arial" w:cs="Arial" w:eastAsia="Arial" w:hAnsi="Arial"/>
          <w:sz w:val="24"/>
          <w:szCs w:val="24"/>
        </w:rPr>
        <w:t xml:space="preserve">The Registry shall contain the following data:</w:t>
      </w:r>
    </w:p>
    <w:p>
      <w:pPr>
        <w:spacing w:before="40" w:after="60"/>
        <w:ind w:left="720"/>
      </w:pPr>
      <w:r>
        <w:rPr>
          <w:rFonts w:ascii="Arial" w:cs="Arial" w:eastAsia="Arial" w:hAnsi="Arial"/>
          <w:sz w:val="24"/>
          <w:szCs w:val="24"/>
        </w:rPr>
        <w:t xml:space="preserve">a)  Full name and surname. Aliases, pseudonyms, or nicknames shall also be recorded.</w:t>
      </w:r>
    </w:p>
    <w:p>
      <w:pPr>
        <w:spacing w:before="40" w:after="60"/>
        <w:ind w:left="720"/>
      </w:pPr>
      <w:r>
        <w:rPr>
          <w:rFonts w:ascii="Arial" w:cs="Arial" w:eastAsia="Arial" w:hAnsi="Arial"/>
          <w:sz w:val="24"/>
          <w:szCs w:val="24"/>
        </w:rPr>
        <w:t xml:space="preserve">b)  Current photograph of the convicted person.</w:t>
      </w:r>
    </w:p>
    <w:p>
      <w:pPr>
        <w:spacing w:before="40" w:after="60"/>
        <w:ind w:left="720"/>
      </w:pPr>
      <w:r>
        <w:rPr>
          <w:rFonts w:ascii="Arial" w:cs="Arial" w:eastAsia="Arial" w:hAnsi="Arial"/>
          <w:sz w:val="24"/>
          <w:szCs w:val="24"/>
        </w:rPr>
        <w:t xml:space="preserve">c)  Date and place of birth.</w:t>
      </w:r>
    </w:p>
    <w:p>
      <w:pPr>
        <w:spacing w:before="40" w:after="60"/>
        <w:ind w:left="720"/>
      </w:pPr>
      <w:r>
        <w:rPr>
          <w:rFonts w:ascii="Arial" w:cs="Arial" w:eastAsia="Arial" w:hAnsi="Arial"/>
          <w:sz w:val="24"/>
          <w:szCs w:val="24"/>
        </w:rPr>
        <w:t xml:space="preserve">d)  Nationality.</w:t>
      </w:r>
    </w:p>
    <w:p>
      <w:pPr>
        <w:spacing w:before="40" w:after="60"/>
        <w:ind w:left="720"/>
      </w:pPr>
      <w:r>
        <w:rPr>
          <w:rFonts w:ascii="Arial" w:cs="Arial" w:eastAsia="Arial" w:hAnsi="Arial"/>
          <w:sz w:val="24"/>
          <w:szCs w:val="24"/>
        </w:rPr>
        <w:t xml:space="preserve">e)  Identity document or passport in the case of foreign nationals.</w:t>
      </w:r>
    </w:p>
    <w:p>
      <w:pPr>
        <w:spacing w:before="40" w:after="60"/>
        <w:ind w:left="720"/>
      </w:pPr>
      <w:r>
        <w:rPr>
          <w:rFonts w:ascii="Arial" w:cs="Arial" w:eastAsia="Arial" w:hAnsi="Arial"/>
          <w:sz w:val="24"/>
          <w:szCs w:val="24"/>
        </w:rPr>
        <w:t xml:space="preserve">f)  Genetic profile.</w:t>
      </w:r>
    </w:p>
    <w:p>
      <w:pPr>
        <w:spacing w:before="40" w:after="60"/>
        <w:ind w:left="720"/>
      </w:pPr>
      <w:r>
        <w:rPr>
          <w:rFonts w:ascii="Arial" w:cs="Arial" w:eastAsia="Arial" w:hAnsi="Arial"/>
          <w:sz w:val="24"/>
          <w:szCs w:val="24"/>
        </w:rPr>
        <w:t xml:space="preserve">g)  Description of the acts for which the person was convicted, establishing the degree of culpability and the judicial body that issued the conviction.</w:t>
      </w:r>
    </w:p>
    <w:p>
      <w:pPr>
        <w:spacing w:before="40" w:after="60"/>
        <w:ind w:left="720"/>
      </w:pPr>
      <w:r>
        <w:rPr>
          <w:rFonts w:ascii="Arial" w:cs="Arial" w:eastAsia="Arial" w:hAnsi="Arial"/>
          <w:sz w:val="24"/>
          <w:szCs w:val="24"/>
        </w:rPr>
        <w:t xml:space="preserve">h)  Residential address where the person will reside upon release.</w:t>
      </w:r>
    </w:p>
    <w:p>
      <w:pPr>
        <w:spacing w:before="40" w:after="60"/>
        <w:ind w:left="720"/>
      </w:pPr>
      <w:r>
        <w:rPr>
          <w:rFonts w:ascii="Arial" w:cs="Arial" w:eastAsia="Arial" w:hAnsi="Arial"/>
          <w:sz w:val="24"/>
          <w:szCs w:val="24"/>
        </w:rPr>
        <w:t xml:space="preserve">i)  Work address, position, and name of employer.</w:t>
      </w:r>
    </w:p>
    <w:p>
      <w:pPr>
        <w:spacing w:before="0" w:after="160"/>
      </w:pPr>
      <w:r>
        <w:rPr>
          <w:rFonts w:ascii="Arial" w:cs="Arial" w:eastAsia="Arial" w:hAnsi="Arial"/>
          <w:sz w:val="24"/>
          <w:szCs w:val="24"/>
        </w:rPr>
        <w:t xml:space="preserve">The processing of the data specified in this article shall comply with the principles of lawfulness, information, quality, purpose, loyalty, proportionality, and accountability, which must be observed in the handling and protection of personal data and other principles in force under applicable legislation. Under no circumstances shall the identity of victims of sexual aggressors be published, in the context of protection against re-victimization.</w:t>
      </w:r>
    </w:p>
    <w:p>
      <w:pPr>
        <w:spacing w:before="240" w:after="80"/>
      </w:pPr>
      <w:r>
        <w:rPr>
          <w:rFonts w:ascii="Arial" w:cs="Arial" w:eastAsia="Arial" w:hAnsi="Arial"/>
          <w:b/>
          <w:bCs/>
          <w:sz w:val="24"/>
          <w:szCs w:val="24"/>
        </w:rPr>
        <w:t xml:space="preserve">Article 13. — Duration of Registration in the National Registry of Sexual Aggressors of Children and Adolescents</w:t>
      </w:r>
    </w:p>
    <w:p>
      <w:pPr>
        <w:spacing w:before="0" w:after="160"/>
      </w:pPr>
      <w:r>
        <w:rPr>
          <w:rFonts w:ascii="Arial" w:cs="Arial" w:eastAsia="Arial" w:hAnsi="Arial"/>
          <w:sz w:val="24"/>
          <w:szCs w:val="24"/>
        </w:rPr>
        <w:t xml:space="preserve">Once the conviction becomes final and enforceable, the competent court shall immediately order registration in the National Registry of Sexual Aggressors, which shall be of a permanent nature.</w:t>
      </w:r>
    </w:p>
    <w:p>
      <w:pPr>
        <w:spacing w:before="240" w:after="80"/>
      </w:pPr>
      <w:r>
        <w:rPr>
          <w:rFonts w:ascii="Arial" w:cs="Arial" w:eastAsia="Arial" w:hAnsi="Arial"/>
          <w:b/>
          <w:bCs/>
          <w:sz w:val="24"/>
          <w:szCs w:val="24"/>
        </w:rPr>
        <w:t xml:space="preserve">Article 14. — Certificate of the National Registry of Sexual Aggressors of Children and Adolescents</w:t>
      </w:r>
    </w:p>
    <w:p>
      <w:pPr>
        <w:spacing w:before="0" w:after="160"/>
      </w:pPr>
      <w:r>
        <w:rPr>
          <w:rFonts w:ascii="Arial" w:cs="Arial" w:eastAsia="Arial" w:hAnsi="Arial"/>
          <w:sz w:val="24"/>
          <w:szCs w:val="24"/>
        </w:rPr>
        <w:t xml:space="preserve">Every person who works directly or indirectly with children and adolescents must hold a certificate issued free of charge and online by the Registry, valid for 6 (six) months, which shall state whether the person is or is not registered as a sexual aggressor.</w:t>
      </w:r>
    </w:p>
    <w:p>
      <w:pPr>
        <w:spacing w:before="240" w:after="80"/>
      </w:pPr>
      <w:r>
        <w:rPr>
          <w:rFonts w:ascii="Arial" w:cs="Arial" w:eastAsia="Arial" w:hAnsi="Arial"/>
          <w:b/>
          <w:bCs/>
          <w:sz w:val="24"/>
          <w:szCs w:val="24"/>
        </w:rPr>
        <w:t xml:space="preserve">Article 15. — Institutions Required to Request the Certificate of the National Registry of Sexual Aggressors of Children and Adolescents</w:t>
      </w:r>
    </w:p>
    <w:p>
      <w:pPr>
        <w:spacing w:before="0" w:after="160"/>
      </w:pPr>
      <w:r>
        <w:rPr>
          <w:rFonts w:ascii="Arial" w:cs="Arial" w:eastAsia="Arial" w:hAnsi="Arial"/>
          <w:sz w:val="24"/>
          <w:szCs w:val="24"/>
        </w:rPr>
        <w:t xml:space="preserve">The following institutions are required to request the certificate of the National Registry of Sexual Aggressors of Children and Adolescents:</w:t>
      </w:r>
    </w:p>
    <w:p>
      <w:pPr>
        <w:spacing w:before="40" w:after="60"/>
        <w:ind w:left="720"/>
      </w:pPr>
      <w:r>
        <w:rPr>
          <w:rFonts w:ascii="Arial" w:cs="Arial" w:eastAsia="Arial" w:hAnsi="Arial"/>
          <w:sz w:val="24"/>
          <w:szCs w:val="24"/>
        </w:rPr>
        <w:t xml:space="preserve">a)  Schools, educational institutions, institutes, and day-care centers.</w:t>
      </w:r>
    </w:p>
    <w:p>
      <w:pPr>
        <w:spacing w:before="40" w:after="60"/>
        <w:ind w:left="720"/>
      </w:pPr>
      <w:r>
        <w:rPr>
          <w:rFonts w:ascii="Arial" w:cs="Arial" w:eastAsia="Arial" w:hAnsi="Arial"/>
          <w:sz w:val="24"/>
          <w:szCs w:val="24"/>
        </w:rPr>
        <w:t xml:space="preserve">b)  Art schools.</w:t>
      </w:r>
    </w:p>
    <w:p>
      <w:pPr>
        <w:spacing w:before="40" w:after="60"/>
        <w:ind w:left="720"/>
      </w:pPr>
      <w:r>
        <w:rPr>
          <w:rFonts w:ascii="Arial" w:cs="Arial" w:eastAsia="Arial" w:hAnsi="Arial"/>
          <w:sz w:val="24"/>
          <w:szCs w:val="24"/>
        </w:rPr>
        <w:t xml:space="preserve">c)  Sports schools.</w:t>
      </w:r>
    </w:p>
    <w:p>
      <w:pPr>
        <w:spacing w:before="40" w:after="60"/>
        <w:ind w:left="720"/>
      </w:pPr>
      <w:r>
        <w:rPr>
          <w:rFonts w:ascii="Arial" w:cs="Arial" w:eastAsia="Arial" w:hAnsi="Arial"/>
          <w:sz w:val="24"/>
          <w:szCs w:val="24"/>
        </w:rPr>
        <w:t xml:space="preserve">d)  Religious institutions.</w:t>
      </w:r>
    </w:p>
    <w:p>
      <w:pPr>
        <w:spacing w:before="40" w:after="60"/>
        <w:ind w:left="720"/>
      </w:pPr>
      <w:r>
        <w:rPr>
          <w:rFonts w:ascii="Arial" w:cs="Arial" w:eastAsia="Arial" w:hAnsi="Arial"/>
          <w:sz w:val="24"/>
          <w:szCs w:val="24"/>
        </w:rPr>
        <w:t xml:space="preserve">e)  Associations, foundations, and NGOs involved in work with children and adolescents.</w:t>
      </w:r>
    </w:p>
    <w:p>
      <w:pPr>
        <w:spacing w:before="40" w:after="60"/>
        <w:ind w:left="720"/>
      </w:pPr>
      <w:r>
        <w:rPr>
          <w:rFonts w:ascii="Arial" w:cs="Arial" w:eastAsia="Arial" w:hAnsi="Arial"/>
          <w:sz w:val="24"/>
          <w:szCs w:val="24"/>
        </w:rPr>
        <w:t xml:space="preserve">f)  Health centers, sanatoriums, and hospitals.</w:t>
      </w:r>
    </w:p>
    <w:p>
      <w:pPr>
        <w:spacing w:before="40" w:after="60"/>
        <w:ind w:left="720"/>
      </w:pPr>
      <w:r>
        <w:rPr>
          <w:rFonts w:ascii="Arial" w:cs="Arial" w:eastAsia="Arial" w:hAnsi="Arial"/>
          <w:sz w:val="24"/>
          <w:szCs w:val="24"/>
        </w:rPr>
        <w:t xml:space="preserve">g)  Shelter facilities, foster families, and substitute families and prospective adoptive families.</w:t>
      </w:r>
    </w:p>
    <w:p>
      <w:pPr>
        <w:spacing w:before="40" w:after="60"/>
        <w:ind w:left="720"/>
      </w:pPr>
      <w:r>
        <w:rPr>
          <w:rFonts w:ascii="Arial" w:cs="Arial" w:eastAsia="Arial" w:hAnsi="Arial"/>
          <w:sz w:val="24"/>
          <w:szCs w:val="24"/>
        </w:rPr>
        <w:t xml:space="preserve">h)  Correctional officers and educators in Educational Centers where adolescents deprived of their liberty are held.</w:t>
      </w:r>
    </w:p>
    <w:p>
      <w:pPr>
        <w:spacing w:before="40" w:after="60"/>
        <w:ind w:left="720"/>
      </w:pPr>
      <w:r>
        <w:rPr>
          <w:rFonts w:ascii="Arial" w:cs="Arial" w:eastAsia="Arial" w:hAnsi="Arial"/>
          <w:sz w:val="24"/>
          <w:szCs w:val="24"/>
        </w:rPr>
        <w:t xml:space="preserve">i)  Officials of national, departmental, and municipal public institutions who perform tasks related to the care of children and adolescents.</w:t>
      </w:r>
    </w:p>
    <w:p>
      <w:pPr>
        <w:spacing w:before="40" w:after="60"/>
        <w:ind w:left="720"/>
      </w:pPr>
      <w:r>
        <w:rPr>
          <w:rFonts w:ascii="Arial" w:cs="Arial" w:eastAsia="Arial" w:hAnsi="Arial"/>
          <w:sz w:val="24"/>
          <w:szCs w:val="24"/>
        </w:rPr>
        <w:t xml:space="preserve">j)  Child and Adolescent Ombudspersons, court officers, Public Prosecutor’s Office officials, and officials of the Specialized Juvenile and Adolescent Justice system.</w:t>
      </w:r>
    </w:p>
    <w:p>
      <w:pPr>
        <w:spacing w:before="40" w:after="60"/>
        <w:ind w:left="720"/>
      </w:pPr>
      <w:r>
        <w:rPr>
          <w:rFonts w:ascii="Arial" w:cs="Arial" w:eastAsia="Arial" w:hAnsi="Arial"/>
          <w:sz w:val="24"/>
          <w:szCs w:val="24"/>
        </w:rPr>
        <w:t xml:space="preserve">k)  Any other cases that warrant certification.</w:t>
      </w:r>
    </w:p>
    <w:p>
      <w:pPr>
        <w:spacing w:before="240" w:after="80"/>
      </w:pPr>
      <w:r>
        <w:rPr>
          <w:rFonts w:ascii="Arial" w:cs="Arial" w:eastAsia="Arial" w:hAnsi="Arial"/>
          <w:b/>
          <w:bCs/>
          <w:sz w:val="24"/>
          <w:szCs w:val="24"/>
        </w:rPr>
        <w:t xml:space="preserve">Article 16. — Request for the Certificate of the National Registry of Sexual Aggressors of Children and Adolescents</w:t>
      </w:r>
    </w:p>
    <w:p>
      <w:pPr>
        <w:spacing w:before="0" w:after="160"/>
      </w:pPr>
      <w:r>
        <w:rPr>
          <w:rFonts w:ascii="Arial" w:cs="Arial" w:eastAsia="Arial" w:hAnsi="Arial"/>
          <w:sz w:val="24"/>
          <w:szCs w:val="24"/>
        </w:rPr>
        <w:t xml:space="preserve">The official responsible for processing requests for the Certificate of the National Registry of Sexual Aggressors shall record information about the person or entity requesting it and the reasons for the request, and must at all times act with the duty of care and confidentiality required to protect the right to privacy.</w:t>
      </w:r>
    </w:p>
    <w:p>
      <w:pPr>
        <w:spacing w:before="0" w:after="160"/>
      </w:pPr>
      <w:r>
        <w:rPr>
          <w:rFonts w:ascii="Arial" w:cs="Arial" w:eastAsia="Arial" w:hAnsi="Arial"/>
          <w:sz w:val="24"/>
          <w:szCs w:val="24"/>
        </w:rPr>
        <w:t xml:space="preserve">Any official who improperly discloses or divulges the information contained in such document to unauthorized persons shall be subject to the sanctions set forth in Chapter VII of the Penal Code.</w:t>
      </w:r>
    </w:p>
    <w:p>
      <w:pPr>
        <w:spacing w:before="240" w:after="80"/>
      </w:pPr>
      <w:r>
        <w:rPr>
          <w:rFonts w:ascii="Arial" w:cs="Arial" w:eastAsia="Arial" w:hAnsi="Arial"/>
          <w:b/>
          <w:bCs/>
          <w:sz w:val="24"/>
          <w:szCs w:val="24"/>
        </w:rPr>
        <w:t xml:space="preserve">Article 17. — Sanctions</w:t>
      </w:r>
    </w:p>
    <w:p>
      <w:pPr>
        <w:spacing w:before="0" w:after="160"/>
      </w:pPr>
      <w:r>
        <w:rPr>
          <w:rFonts w:ascii="Arial" w:cs="Arial" w:eastAsia="Arial" w:hAnsi="Arial"/>
          <w:sz w:val="24"/>
          <w:szCs w:val="24"/>
        </w:rPr>
        <w:t xml:space="preserve">Non-compliance with the provisions regarding the obligation of public or private institutions under this Law to request the Certificate of the National Registry of Sexual Aggressors of Children and Adolescents shall be sanctioned with a fine of 30 (thirty) minimum wages for unspecified diverse activities; in the case of recidivism, this amount shall be doubled. A public official who, within their area of competence, fails to require this certificate shall be deemed to have committed a very serious offense.</w:t>
      </w:r>
    </w:p>
    <w:p>
      <w:pPr>
        <w:spacing w:before="240" w:after="80"/>
      </w:pPr>
      <w:r>
        <w:rPr>
          <w:rFonts w:ascii="Arial" w:cs="Arial" w:eastAsia="Arial" w:hAnsi="Arial"/>
          <w:b/>
          <w:bCs/>
          <w:sz w:val="24"/>
          <w:szCs w:val="24"/>
        </w:rPr>
        <w:t xml:space="preserve">Article 18. — Authority Responsible for Verifying Compliance</w:t>
      </w:r>
    </w:p>
    <w:p>
      <w:pPr>
        <w:spacing w:before="0" w:after="160"/>
      </w:pPr>
      <w:r>
        <w:rPr>
          <w:rFonts w:ascii="Arial" w:cs="Arial" w:eastAsia="Arial" w:hAnsi="Arial"/>
          <w:sz w:val="24"/>
          <w:szCs w:val="24"/>
        </w:rPr>
        <w:t xml:space="preserve">The Ministry of Labor, Employment, and Social Security shall be the institution responsible for enforcing this sanction within its area of competence, and shall verify compliance with the obligation set forth in Article 15 of this Law. In the event of non-compliance, the public or private institutions obligated shall be subject to the sanction provided for in this Law. Revenues collected from the application of sanctions shall be deposited in the budget of the Ministry of Children and Adolescents and shall be allocated to the implementation of public policies aimed at promoting compliance with the rights of children and adolescents.</w:t>
      </w:r>
    </w:p>
    <w:p>
      <w:pPr>
        <w:spacing w:before="240" w:after="80"/>
      </w:pPr>
      <w:r>
        <w:rPr>
          <w:rFonts w:ascii="Arial" w:cs="Arial" w:eastAsia="Arial" w:hAnsi="Arial"/>
          <w:b/>
          <w:bCs/>
          <w:sz w:val="24"/>
          <w:szCs w:val="24"/>
        </w:rPr>
        <w:t xml:space="preserve">Article 19. — Disqualification from Practicing Certain Activities, Professions, or Trades</w:t>
      </w:r>
    </w:p>
    <w:p>
      <w:pPr>
        <w:spacing w:before="0" w:after="160"/>
      </w:pPr>
      <w:r>
        <w:rPr>
          <w:rFonts w:ascii="Arial" w:cs="Arial" w:eastAsia="Arial" w:hAnsi="Arial"/>
          <w:sz w:val="24"/>
          <w:szCs w:val="24"/>
        </w:rPr>
        <w:t xml:space="preserve">Together with the applicable penalty in the conviction, disqualification for a period established in the Penal Code, Article 81, paragraphs 1º and 2º, shall be imposed for the practice of professions or trades related to health care, sanitation, teaching, and/or academic work, or any activity directly related to those involving contact with children and adolescents, in both the public and private sectors. The running of the disqualification period shall be suspended for as long as the convicted person remains deprived of their liberty.</w:t>
      </w:r>
    </w:p>
    <w:p>
      <w:pPr>
        <w:spacing w:before="240" w:after="80"/>
      </w:pPr>
      <w:r>
        <w:rPr>
          <w:rFonts w:ascii="Arial" w:cs="Arial" w:eastAsia="Arial" w:hAnsi="Arial"/>
          <w:b/>
          <w:bCs/>
          <w:sz w:val="24"/>
          <w:szCs w:val="24"/>
        </w:rPr>
        <w:t xml:space="preserve">Article 20. — Prohibitions</w:t>
      </w:r>
    </w:p>
    <w:p>
      <w:pPr>
        <w:spacing w:before="0" w:after="160"/>
      </w:pPr>
      <w:r>
        <w:rPr>
          <w:rFonts w:ascii="Arial" w:cs="Arial" w:eastAsia="Arial" w:hAnsi="Arial"/>
          <w:sz w:val="24"/>
          <w:szCs w:val="24"/>
        </w:rPr>
        <w:t xml:space="preserve">The institutions listed in Article 15 of this Law may not enter into employment or service contracts, under any modality established by applicable law, without first requesting the Certificate of the National Registry of Sexual Aggressors, and are prohibited from hiring persons who appear in the Registry.</w:t>
      </w:r>
    </w:p>
    <w:p>
      <w:pPr>
        <w:pBdr>
          <w:bottom w:val="single" w:color="AAAAAA" w:sz="4"/>
        </w:pBdr>
        <w:spacing w:before="200" w:after="200"/>
      </w:pPr>
    </w:p>
    <w:p>
      <w:pPr>
        <w:spacing w:before="360" w:after="80"/>
        <w:jc w:val="center"/>
      </w:pPr>
      <w:r>
        <w:rPr>
          <w:rFonts w:ascii="Arial" w:cs="Arial" w:eastAsia="Arial" w:hAnsi="Arial"/>
          <w:b/>
          <w:bCs/>
          <w:color w:val="1F3864"/>
          <w:sz w:val="26"/>
          <w:szCs w:val="26"/>
        </w:rPr>
        <w:t xml:space="preserve">CHAPTER III</w:t>
      </w:r>
    </w:p>
    <w:p>
      <w:pPr>
        <w:spacing w:before="0" w:after="200"/>
        <w:jc w:val="center"/>
      </w:pPr>
      <w:r>
        <w:rPr>
          <w:rFonts w:ascii="Arial" w:cs="Arial" w:eastAsia="Arial" w:hAnsi="Arial"/>
          <w:b/>
          <w:bCs/>
          <w:color w:val="1F3864"/>
          <w:sz w:val="24"/>
          <w:szCs w:val="24"/>
        </w:rPr>
        <w:t xml:space="preserve">Genetic Bank of Sexual Aggressors</w:t>
      </w:r>
    </w:p>
    <w:p>
      <w:pPr>
        <w:spacing w:before="240" w:after="80"/>
      </w:pPr>
      <w:r>
        <w:rPr>
          <w:rFonts w:ascii="Arial" w:cs="Arial" w:eastAsia="Arial" w:hAnsi="Arial"/>
          <w:b/>
          <w:bCs/>
          <w:sz w:val="24"/>
          <w:szCs w:val="24"/>
        </w:rPr>
        <w:t xml:space="preserve">Article 21. — Genetic Bank of Sexual Aggressors</w:t>
      </w:r>
    </w:p>
    <w:p>
      <w:pPr>
        <w:spacing w:before="0" w:after="160"/>
      </w:pPr>
      <w:r>
        <w:rPr>
          <w:rFonts w:ascii="Arial" w:cs="Arial" w:eastAsia="Arial" w:hAnsi="Arial"/>
          <w:sz w:val="24"/>
          <w:szCs w:val="24"/>
        </w:rPr>
        <w:t xml:space="preserve">The Genetic Bank of Sexual Aggressors is hereby created, under the authority of the Public Prosecutor’s Office through the Forensic Laboratory, with the purpose of obtaining, storing, and recording genetic information to facilitate the identification and clarification of sexual offenses. It shall process biological material samples to obtain the genetic profile of persons convicted by final and enforceable judgment for the commission of the punishable acts set forth in this Law.</w:t>
      </w:r>
    </w:p>
    <w:p>
      <w:pPr>
        <w:spacing w:before="0" w:after="160"/>
      </w:pPr>
      <w:r>
        <w:rPr>
          <w:rFonts w:ascii="Arial" w:cs="Arial" w:eastAsia="Arial" w:hAnsi="Arial"/>
          <w:sz w:val="24"/>
          <w:szCs w:val="24"/>
        </w:rPr>
        <w:t xml:space="preserve">Likewise, when it is not feasible to identify the perpetrator of the punishable acts set forth in Article 6, but biological material is available that could enable the genetic profile of the presumed perpetrator to be obtained, the court shall, upon a party’s motion and by a reasoned order, authorize the relevant examination and the registration of its results in the Genetic Bank of Sexual Aggressors.</w:t>
      </w:r>
    </w:p>
    <w:p>
      <w:pPr>
        <w:spacing w:before="240" w:after="80"/>
      </w:pPr>
      <w:r>
        <w:rPr>
          <w:rFonts w:ascii="Arial" w:cs="Arial" w:eastAsia="Arial" w:hAnsi="Arial"/>
          <w:b/>
          <w:bCs/>
          <w:sz w:val="24"/>
          <w:szCs w:val="24"/>
        </w:rPr>
        <w:t xml:space="preserve">Article 22. — Functions</w:t>
      </w:r>
    </w:p>
    <w:p>
      <w:pPr>
        <w:spacing w:before="0" w:after="160"/>
      </w:pPr>
      <w:r>
        <w:rPr>
          <w:rFonts w:ascii="Arial" w:cs="Arial" w:eastAsia="Arial" w:hAnsi="Arial"/>
          <w:sz w:val="24"/>
          <w:szCs w:val="24"/>
        </w:rPr>
        <w:t xml:space="preserve">The Public Prosecutor’s Office, through the Forensic Laboratory, shall:</w:t>
      </w:r>
    </w:p>
    <w:p>
      <w:pPr>
        <w:spacing w:before="40" w:after="60"/>
        <w:ind w:left="720"/>
      </w:pPr>
      <w:r>
        <w:rPr>
          <w:rFonts w:ascii="Arial" w:cs="Arial" w:eastAsia="Arial" w:hAnsi="Arial"/>
          <w:sz w:val="24"/>
          <w:szCs w:val="24"/>
        </w:rPr>
        <w:t xml:space="preserve">a)  Organize, operate, and maintain a genetic data archive, for the purpose of facilitating the criminal investigation and prosecution of sexual aggressors convicted by final and enforceable judgment, taking into account their degree of dangerousness, in order to prevent recidivism.</w:t>
      </w:r>
    </w:p>
    <w:p>
      <w:pPr>
        <w:spacing w:before="40" w:after="60"/>
        <w:ind w:left="720"/>
      </w:pPr>
      <w:r>
        <w:rPr>
          <w:rFonts w:ascii="Arial" w:cs="Arial" w:eastAsia="Arial" w:hAnsi="Arial"/>
          <w:sz w:val="24"/>
          <w:szCs w:val="24"/>
        </w:rPr>
        <w:t xml:space="preserve">b)  Produce reports, technical opinions, and conduct genetic expert examinations upon judicial request.</w:t>
      </w:r>
    </w:p>
    <w:p>
      <w:pPr>
        <w:spacing w:before="40" w:after="60"/>
        <w:ind w:left="720"/>
      </w:pPr>
      <w:r>
        <w:rPr>
          <w:rFonts w:ascii="Arial" w:cs="Arial" w:eastAsia="Arial" w:hAnsi="Arial"/>
          <w:sz w:val="24"/>
          <w:szCs w:val="24"/>
        </w:rPr>
        <w:t xml:space="preserve">c)  Conduct and promote studies and research related to the purpose of this Law.</w:t>
      </w:r>
    </w:p>
    <w:p>
      <w:pPr>
        <w:spacing w:before="240" w:after="80"/>
      </w:pPr>
      <w:r>
        <w:rPr>
          <w:rFonts w:ascii="Arial" w:cs="Arial" w:eastAsia="Arial" w:hAnsi="Arial"/>
          <w:b/>
          <w:bCs/>
          <w:sz w:val="24"/>
          <w:szCs w:val="24"/>
        </w:rPr>
        <w:t xml:space="preserve">Article 23. — Data</w:t>
      </w:r>
    </w:p>
    <w:p>
      <w:pPr>
        <w:spacing w:before="0" w:after="160"/>
      </w:pPr>
      <w:r>
        <w:rPr>
          <w:rFonts w:ascii="Arial" w:cs="Arial" w:eastAsia="Arial" w:hAnsi="Arial"/>
          <w:sz w:val="24"/>
          <w:szCs w:val="24"/>
        </w:rPr>
        <w:t xml:space="preserve">The data of the Genetic Bank of Sexual Aggressors shall be maintained in an inviolable and unalterable manner and, in such conditions, shall be deemed fully authentic and shall be stored for a period of 100 (one hundred) years.</w:t>
      </w:r>
    </w:p>
    <w:p>
      <w:pPr>
        <w:spacing w:before="0" w:after="160"/>
      </w:pPr>
      <w:r>
        <w:rPr>
          <w:rFonts w:ascii="Arial" w:cs="Arial" w:eastAsia="Arial" w:hAnsi="Arial"/>
          <w:sz w:val="24"/>
          <w:szCs w:val="24"/>
        </w:rPr>
        <w:t xml:space="preserve">Any alteration to the records or reports shall be punished with the penalties set forth in the Penal Code for the offense of falsification of public instruments.</w:t>
      </w:r>
    </w:p>
    <w:p>
      <w:pPr>
        <w:spacing w:before="240" w:after="80"/>
      </w:pPr>
      <w:r>
        <w:rPr>
          <w:rFonts w:ascii="Arial" w:cs="Arial" w:eastAsia="Arial" w:hAnsi="Arial"/>
          <w:b/>
          <w:bCs/>
          <w:sz w:val="24"/>
          <w:szCs w:val="24"/>
        </w:rPr>
        <w:t xml:space="preserve">Article 24. — Regulations</w:t>
      </w:r>
    </w:p>
    <w:p>
      <w:pPr>
        <w:spacing w:before="0" w:after="160"/>
      </w:pPr>
      <w:r>
        <w:rPr>
          <w:rFonts w:ascii="Arial" w:cs="Arial" w:eastAsia="Arial" w:hAnsi="Arial"/>
          <w:sz w:val="24"/>
          <w:szCs w:val="24"/>
        </w:rPr>
        <w:t xml:space="preserve">The Judicial Branch and the Public Prosecutor’s Office are hereby authorized to regulate the administrative, budgetary, and operational procedures for compliance with the provisions of this Law within 120 (one hundred and twenty) days from the date of its promulgation.</w:t>
      </w:r>
    </w:p>
    <w:p>
      <w:pPr>
        <w:spacing w:before="240" w:after="80"/>
      </w:pPr>
      <w:r>
        <w:rPr>
          <w:rFonts w:ascii="Arial" w:cs="Arial" w:eastAsia="Arial" w:hAnsi="Arial"/>
          <w:b/>
          <w:bCs/>
          <w:sz w:val="24"/>
          <w:szCs w:val="24"/>
        </w:rPr>
        <w:t xml:space="preserve">Article 25. — Budget</w:t>
      </w:r>
    </w:p>
    <w:p>
      <w:pPr>
        <w:spacing w:before="0" w:after="160"/>
      </w:pPr>
      <w:r>
        <w:rPr>
          <w:rFonts w:ascii="Arial" w:cs="Arial" w:eastAsia="Arial" w:hAnsi="Arial"/>
          <w:sz w:val="24"/>
          <w:szCs w:val="24"/>
        </w:rPr>
        <w:t xml:space="preserve">The Judicial Branch and the Public Prosecutor’s Office shall incorporate the budgetary appropriations required for the proper functioning of the National Registry of Sexual Aggressors of Children and Adolescents and the Genetic Bank of Sexual Aggressors, respectively, into the annual projections of the General National Budget.</w:t>
      </w:r>
    </w:p>
    <w:p>
      <w:pPr>
        <w:spacing w:before="240" w:after="80"/>
      </w:pPr>
      <w:r>
        <w:rPr>
          <w:rFonts w:ascii="Arial" w:cs="Arial" w:eastAsia="Arial" w:hAnsi="Arial"/>
          <w:b/>
          <w:bCs/>
          <w:sz w:val="24"/>
          <w:szCs w:val="24"/>
        </w:rPr>
        <w:t xml:space="preserve">Article 26. — Communication</w:t>
      </w:r>
    </w:p>
    <w:p>
      <w:pPr>
        <w:spacing w:before="0" w:after="160"/>
      </w:pPr>
      <w:r>
        <w:rPr>
          <w:rFonts w:ascii="Arial" w:cs="Arial" w:eastAsia="Arial" w:hAnsi="Arial"/>
          <w:sz w:val="24"/>
          <w:szCs w:val="24"/>
        </w:rPr>
        <w:t xml:space="preserve">Communicate to the Executive Branch.</w:t>
      </w:r>
    </w:p>
    <w:p>
      <w:pPr>
        <w:pBdr>
          <w:bottom w:val="single" w:color="AAAAAA" w:sz="4"/>
        </w:pBdr>
        <w:spacing w:before="200" w:after="200"/>
      </w:pPr>
    </w:p>
    <w:p>
      <w:pPr>
        <w:spacing w:before="0" w:after="160"/>
      </w:pPr>
      <w:r>
        <w:rPr>
          <w:rFonts w:ascii="Arial" w:cs="Arial" w:eastAsia="Arial" w:hAnsi="Arial"/>
          <w:i/>
          <w:iCs/>
          <w:sz w:val="24"/>
          <w:szCs w:val="24"/>
        </w:rPr>
        <w:t xml:space="preserve">Approved by the Honorable Chamber of Senators on the twenty-first day of the month of May of the year two thousand and twenty, and sanctioned by the Honorable Chamber of Deputies on the seventeenth day of the month of June of the year two thousand and twenty, in accordance with Article 207, numeral 1 of the National Constitution.</w:t>
      </w:r>
    </w:p>
    <w:p>
      <w:pPr>
        <w:spacing w:before="200" w:after="40"/>
      </w:pPr>
      <w:r>
        <w:rPr>
          <w:rFonts w:ascii="Arial" w:cs="Arial" w:eastAsia="Arial" w:hAnsi="Arial"/>
          <w:b/>
          <w:bCs/>
          <w:sz w:val="24"/>
          <w:szCs w:val="24"/>
        </w:rPr>
        <w:t xml:space="preserve">Julio Enrique Mineur De Witte</w:t>
      </w:r>
    </w:p>
    <w:p>
      <w:pPr>
        <w:spacing w:before="0" w:after="160"/>
      </w:pPr>
      <w:r>
        <w:rPr>
          <w:rFonts w:ascii="Arial" w:cs="Arial" w:eastAsia="Arial" w:hAnsi="Arial"/>
          <w:sz w:val="24"/>
          <w:szCs w:val="24"/>
        </w:rPr>
        <w:t xml:space="preserve">2nd Vice President, Acting President, H. Chamber of Deputies</w:t>
      </w:r>
    </w:p>
    <w:p>
      <w:pPr>
        <w:spacing w:before="120" w:after="40"/>
      </w:pPr>
      <w:r>
        <w:rPr>
          <w:rFonts w:ascii="Arial" w:cs="Arial" w:eastAsia="Arial" w:hAnsi="Arial"/>
          <w:b/>
          <w:bCs/>
          <w:sz w:val="24"/>
          <w:szCs w:val="24"/>
        </w:rPr>
        <w:t xml:space="preserve">Blas Antonio Llano Ramos</w:t>
      </w:r>
    </w:p>
    <w:p>
      <w:pPr>
        <w:spacing w:before="0" w:after="160"/>
      </w:pPr>
      <w:r>
        <w:rPr>
          <w:rFonts w:ascii="Arial" w:cs="Arial" w:eastAsia="Arial" w:hAnsi="Arial"/>
          <w:sz w:val="24"/>
          <w:szCs w:val="24"/>
        </w:rPr>
        <w:t xml:space="preserve">President, H. Chamber of Senators</w:t>
      </w:r>
    </w:p>
    <w:p>
      <w:pPr>
        <w:spacing w:before="120" w:after="40"/>
      </w:pPr>
      <w:r>
        <w:rPr>
          <w:rFonts w:ascii="Arial" w:cs="Arial" w:eastAsia="Arial" w:hAnsi="Arial"/>
          <w:b/>
          <w:bCs/>
          <w:sz w:val="24"/>
          <w:szCs w:val="24"/>
        </w:rPr>
        <w:t xml:space="preserve">Néstor Fabián Ferrer Miranda</w:t>
      </w:r>
    </w:p>
    <w:p>
      <w:pPr>
        <w:spacing w:before="0" w:after="160"/>
      </w:pPr>
      <w:r>
        <w:rPr>
          <w:rFonts w:ascii="Arial" w:cs="Arial" w:eastAsia="Arial" w:hAnsi="Arial"/>
          <w:sz w:val="24"/>
          <w:szCs w:val="24"/>
        </w:rPr>
        <w:t xml:space="preserve">Parliamentary Secretary</w:t>
      </w:r>
    </w:p>
    <w:p>
      <w:pPr>
        <w:spacing w:before="120" w:after="40"/>
      </w:pPr>
      <w:r>
        <w:rPr>
          <w:rFonts w:ascii="Arial" w:cs="Arial" w:eastAsia="Arial" w:hAnsi="Arial"/>
          <w:b/>
          <w:bCs/>
          <w:sz w:val="24"/>
          <w:szCs w:val="24"/>
        </w:rPr>
        <w:t xml:space="preserve">Hermelinda Alvareza de Ortega</w:t>
      </w:r>
    </w:p>
    <w:p>
      <w:pPr>
        <w:spacing w:before="0" w:after="160"/>
      </w:pPr>
      <w:r>
        <w:rPr>
          <w:rFonts w:ascii="Arial" w:cs="Arial" w:eastAsia="Arial" w:hAnsi="Arial"/>
          <w:sz w:val="24"/>
          <w:szCs w:val="24"/>
        </w:rPr>
        <w:t xml:space="preserve">Parliamentary Secretary</w:t>
      </w:r>
    </w:p>
    <w:p>
      <w:pPr>
        <w:spacing w:before="200" w:after="80"/>
      </w:pPr>
      <w:r>
        <w:rPr>
          <w:rFonts w:ascii="Arial" w:cs="Arial" w:eastAsia="Arial" w:hAnsi="Arial"/>
          <w:i/>
          <w:iCs/>
          <w:sz w:val="24"/>
          <w:szCs w:val="24"/>
        </w:rPr>
        <w:t xml:space="preserve">Asunción, July 22, 2020</w:t>
      </w:r>
    </w:p>
    <w:p>
      <w:pPr>
        <w:spacing w:before="0" w:after="160"/>
      </w:pPr>
      <w:r>
        <w:rPr>
          <w:rFonts w:ascii="Arial" w:cs="Arial" w:eastAsia="Arial" w:hAnsi="Arial"/>
          <w:b/>
          <w:bCs/>
          <w:sz w:val="24"/>
          <w:szCs w:val="24"/>
        </w:rPr>
        <w:t xml:space="preserve">Be it deemed Law of the Republic; publish and insert in the Official Registry.</w:t>
      </w:r>
    </w:p>
    <w:p>
      <w:pPr>
        <w:spacing w:before="160" w:after="40"/>
      </w:pPr>
      <w:r>
        <w:rPr>
          <w:rFonts w:ascii="Arial" w:cs="Arial" w:eastAsia="Arial" w:hAnsi="Arial"/>
          <w:b/>
          <w:bCs/>
          <w:sz w:val="24"/>
          <w:szCs w:val="24"/>
        </w:rPr>
        <w:t xml:space="preserve">Mario Abdo Benítez</w:t>
      </w:r>
    </w:p>
    <w:p>
      <w:pPr>
        <w:spacing w:before="0" w:after="160"/>
      </w:pPr>
      <w:r>
        <w:rPr>
          <w:rFonts w:ascii="Arial" w:cs="Arial" w:eastAsia="Arial" w:hAnsi="Arial"/>
          <w:sz w:val="24"/>
          <w:szCs w:val="24"/>
        </w:rPr>
        <w:t xml:space="preserve">President of the Republic</w:t>
      </w:r>
    </w:p>
    <w:p>
      <w:pPr>
        <w:spacing w:before="80" w:after="40"/>
      </w:pPr>
      <w:r>
        <w:rPr>
          <w:rFonts w:ascii="Arial" w:cs="Arial" w:eastAsia="Arial" w:hAnsi="Arial"/>
          <w:b/>
          <w:bCs/>
          <w:sz w:val="24"/>
          <w:szCs w:val="24"/>
        </w:rPr>
        <w:t xml:space="preserve">Cecilia Pérez Rivas</w:t>
      </w:r>
    </w:p>
    <w:p>
      <w:pPr>
        <w:spacing w:before="0" w:after="160"/>
      </w:pPr>
      <w:r>
        <w:rPr>
          <w:rFonts w:ascii="Arial" w:cs="Arial" w:eastAsia="Arial" w:hAnsi="Arial"/>
          <w:sz w:val="24"/>
          <w:szCs w:val="24"/>
        </w:rPr>
        <w:t xml:space="preserve">Minister of Justice</w:t>
      </w:r>
    </w:p>
    <w:p>
      <w:pPr>
        <w:pBdr>
          <w:bottom w:val="single" w:color="AAAAAA" w:sz="4"/>
        </w:pBdr>
        <w:spacing w:before="200" w:after="200"/>
      </w:pPr>
    </w:p>
    <w:p>
      <w:pPr>
        <w:spacing w:before="120" w:after="40"/>
      </w:pPr>
      <w:r>
        <w:rPr>
          <w:rFonts w:ascii="Arial" w:cs="Arial" w:eastAsia="Arial" w:hAnsi="Arial"/>
          <w:b/>
          <w:bCs/>
          <w:i/>
          <w:iCs/>
          <w:color w:val="777777"/>
          <w:sz w:val="20"/>
          <w:szCs w:val="20"/>
        </w:rPr>
        <w:t xml:space="preserve">Translator’s Note</w:t>
      </w:r>
    </w:p>
    <w:p>
      <w:pPr>
        <w:spacing w:before="0" w:after="0"/>
      </w:pPr>
      <w:r>
        <w:rPr>
          <w:rFonts w:ascii="Arial" w:cs="Arial" w:eastAsia="Arial" w:hAnsi="Arial"/>
          <w:i/>
          <w:iCs/>
          <w:color w:val="777777"/>
          <w:sz w:val="20"/>
          <w:szCs w:val="20"/>
        </w:rPr>
        <w:t xml:space="preserve">This is an English translation of Paraguay Law No. 6572, originally enacted in Spanish. The original Spanish text is the authoritative legal version. Translation prepared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2026-03-20T15:29:53.478Z</dcterms:created>
  <dcterms:modified xsi:type="dcterms:W3CDTF">2026-03-20T15:29:53.479Z</dcterms:modified>
</cp:coreProperties>
</file>

<file path=docProps/custom.xml><?xml version="1.0" encoding="utf-8"?>
<Properties xmlns="http://schemas.openxmlformats.org/officeDocument/2006/custom-properties" xmlns:vt="http://schemas.openxmlformats.org/officeDocument/2006/docPropsVTypes"/>
</file>