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42A8" w14:textId="77777777" w:rsidR="00A3797A" w:rsidRDefault="00F03FAA">
      <w:pPr>
        <w:spacing w:after="80"/>
        <w:jc w:val="center"/>
      </w:pPr>
      <w:r>
        <w:rPr>
          <w:b/>
          <w:bCs/>
          <w:sz w:val="28"/>
          <w:szCs w:val="28"/>
        </w:rPr>
        <w:t>SPECIAL REGISTRY OF PERSONS CONVICTED OF SEXUAL OFFENSES</w:t>
      </w:r>
    </w:p>
    <w:p w14:paraId="0EA5FE8D" w14:textId="77777777" w:rsidR="00A3797A" w:rsidRDefault="00F03FAA">
      <w:pPr>
        <w:spacing w:after="200"/>
        <w:jc w:val="center"/>
      </w:pPr>
      <w:r>
        <w:rPr>
          <w:b/>
          <w:bCs/>
          <w:sz w:val="26"/>
          <w:szCs w:val="26"/>
        </w:rPr>
        <w:t>EL SALVADOR</w:t>
      </w:r>
    </w:p>
    <w:p w14:paraId="112320B2" w14:textId="77777777" w:rsidR="00A3797A" w:rsidRDefault="00F03FAA">
      <w:pPr>
        <w:spacing w:after="160"/>
      </w:pPr>
      <w:r>
        <w:rPr>
          <w:b/>
          <w:bCs/>
        </w:rPr>
        <w:t>WHEREAS:</w:t>
      </w:r>
    </w:p>
    <w:p w14:paraId="0BAA0C5B" w14:textId="77777777" w:rsidR="00A3797A" w:rsidRDefault="00F03FAA">
      <w:pPr>
        <w:spacing w:after="160"/>
      </w:pPr>
      <w:r>
        <w:t>I. That the Political Constitution, in Article 1, establishes that El Salvador recognizes the human person as the origin and purpose of the activity of the State, and that it is the obligation of the State to ensure to the inhabitants of the Republic the enjoyment of freedom, health, culture, economic well-being, and social justice; in its Article 34 it provides that every minor has the right to live in family and environmental conditions that allow for full development of his or her personality; and in Art</w:t>
      </w:r>
      <w:r>
        <w:t>icle 35 it establishes the obligation of the State to protect the physical, mental and moral health of minors, and it guarantees the right of minors to education and assistance.</w:t>
      </w:r>
    </w:p>
    <w:p w14:paraId="15A8C1AC" w14:textId="77777777" w:rsidR="00A3797A" w:rsidRDefault="00F03FAA">
      <w:pPr>
        <w:spacing w:after="160"/>
      </w:pPr>
      <w:r>
        <w:t>II. That the criticism of Law has been heard and, in response to the need to update its regulatory framework, a new doctrinal orientation is considered that treats Criminal Law as the last resort for resolving social conflicts and violations of legal rights, and as the most effective instrument for achieving peace, legal certainty of the people, the quality of which El Salvador fully shares.</w:t>
      </w:r>
    </w:p>
    <w:p w14:paraId="061AA952" w14:textId="77777777" w:rsidR="00A3797A" w:rsidRDefault="00F03FAA">
      <w:pPr>
        <w:spacing w:after="160"/>
      </w:pPr>
      <w:r>
        <w:t>III. That with the aim of guiding our criminal legislation toward a guaranteed concept, of high effectiveness in restricting social violence, and with a broad protective purpose of punitive functions on a selective basis, it is appropriate to issue a new Special Registry of Sexual Offenders, which sets it apart from our cultural patrimony, constitutes a modern, dynamic and effective instrument for combating delinquency.</w:t>
      </w:r>
    </w:p>
    <w:p w14:paraId="47DE6D5B" w14:textId="77777777" w:rsidR="00A3797A" w:rsidRDefault="00F03FAA">
      <w:pPr>
        <w:spacing w:after="200"/>
      </w:pPr>
      <w:r>
        <w:t>THEREFORE, In exercise of its constitutional faculties and at the initiative of the President of the Republic through the Minister of Justice and the Deputies: Walter René Araujo Morales, Arturo Argumedo H., Francisco Alberto Jovel Urquilla, Gerardo Antonio Suvillaga, José Armando Cienfuegos Mendoza, Francisco Antonio Divascobar, David Acuña, Jorge Alberto Villacorta Muñoz, Marcos Alfredo Valladares and Elí Avilés Rodríguez,</w:t>
      </w:r>
    </w:p>
    <w:p w14:paraId="3B16093C" w14:textId="77777777" w:rsidR="00A3797A" w:rsidRDefault="00F03FAA">
      <w:pPr>
        <w:spacing w:before="160" w:after="160"/>
        <w:jc w:val="center"/>
      </w:pPr>
      <w:r>
        <w:rPr>
          <w:b/>
          <w:bCs/>
          <w:sz w:val="26"/>
          <w:szCs w:val="26"/>
        </w:rPr>
        <w:t>DECREES the following:</w:t>
      </w:r>
    </w:p>
    <w:p w14:paraId="576D2015" w14:textId="77777777" w:rsidR="00A3797A" w:rsidRDefault="00F03FAA">
      <w:pPr>
        <w:pStyle w:val="Heading1"/>
      </w:pPr>
      <w:r>
        <w:t>SPECIAL REGISTRY LAW FOR PERSONS CONVICTED OF SEXUAL OFFENSES</w:t>
      </w:r>
    </w:p>
    <w:p w14:paraId="1074A4F1" w14:textId="77777777" w:rsidR="00A3797A" w:rsidRDefault="00F03FAA">
      <w:pPr>
        <w:pStyle w:val="Heading2"/>
      </w:pPr>
      <w:r>
        <w:t>TITLE I</w:t>
      </w:r>
    </w:p>
    <w:p w14:paraId="65E866D3" w14:textId="77777777" w:rsidR="00A3797A" w:rsidRDefault="00F03FAA">
      <w:pPr>
        <w:pStyle w:val="Heading2"/>
        <w:spacing w:after="160"/>
      </w:pPr>
      <w:r>
        <w:t>GENERAL PROVISIONS</w:t>
      </w:r>
    </w:p>
    <w:p w14:paraId="1FBD8C1D" w14:textId="77777777" w:rsidR="00A3797A" w:rsidRDefault="00F03FAA">
      <w:pPr>
        <w:spacing w:after="160"/>
      </w:pPr>
      <w:r>
        <w:rPr>
          <w:b/>
          <w:bCs/>
        </w:rPr>
        <w:t>Art. 1. </w:t>
      </w:r>
      <w:r>
        <w:t>No one may be sanctioned for an act or omission that the law, prior to its commission, has not defined expressly and unequivocally as a precise and unequivocal offense, nor may anyone be subjected to security measures or safety measures that the law has not established previously.</w:t>
      </w:r>
    </w:p>
    <w:p w14:paraId="45B4F7BF" w14:textId="77777777" w:rsidR="00A3797A" w:rsidRDefault="00F03FAA">
      <w:pPr>
        <w:spacing w:after="80"/>
      </w:pPr>
      <w:r>
        <w:rPr>
          <w:b/>
          <w:bCs/>
        </w:rPr>
        <w:t>The acts are:</w:t>
      </w:r>
    </w:p>
    <w:p w14:paraId="4A91319A" w14:textId="77777777" w:rsidR="00A3797A" w:rsidRDefault="00F03FAA">
      <w:pPr>
        <w:pStyle w:val="ListParagraph"/>
        <w:numPr>
          <w:ilvl w:val="0"/>
          <w:numId w:val="2"/>
        </w:numPr>
        <w:spacing w:after="80"/>
      </w:pPr>
      <w:r>
        <w:t>Completed or attempted criminal acts;</w:t>
      </w:r>
    </w:p>
    <w:p w14:paraId="3F28CB45" w14:textId="77777777" w:rsidR="00A3797A" w:rsidRDefault="00F03FAA">
      <w:pPr>
        <w:pStyle w:val="ListParagraph"/>
        <w:numPr>
          <w:ilvl w:val="0"/>
          <w:numId w:val="2"/>
        </w:numPr>
        <w:spacing w:after="80"/>
      </w:pPr>
      <w:r>
        <w:lastRenderedPageBreak/>
        <w:t>Acts committed alone or in concert with others; and</w:t>
      </w:r>
    </w:p>
    <w:p w14:paraId="1B0AE63E" w14:textId="77777777" w:rsidR="00A3797A" w:rsidRDefault="00F03FAA">
      <w:pPr>
        <w:pStyle w:val="ListParagraph"/>
        <w:numPr>
          <w:ilvl w:val="0"/>
          <w:numId w:val="2"/>
        </w:numPr>
        <w:spacing w:after="160"/>
      </w:pPr>
      <w:r>
        <w:t>Acts performed directly, by provocation, or through an intermediary, including those set forth in Article 35 of the Penal Code.</w:t>
      </w:r>
    </w:p>
    <w:p w14:paraId="0C2F99A4" w14:textId="77777777" w:rsidR="00A3797A" w:rsidRDefault="00F03FAA">
      <w:pPr>
        <w:spacing w:before="120" w:after="80"/>
      </w:pPr>
      <w:r>
        <w:rPr>
          <w:b/>
          <w:bCs/>
        </w:rPr>
        <w:t>Public Registry. </w:t>
      </w:r>
      <w:r>
        <w:t>The Registry shall be public in the terms established by this Law.</w:t>
      </w:r>
    </w:p>
    <w:p w14:paraId="1925D623" w14:textId="77777777" w:rsidR="00A3797A" w:rsidRDefault="00F03FAA">
      <w:pPr>
        <w:spacing w:after="160"/>
      </w:pPr>
      <w:r>
        <w:t>The public nature of the Registry does not authorize the use of the information contained therein for purposes other than those permitted by law.</w:t>
      </w:r>
    </w:p>
    <w:p w14:paraId="5B94C0F9" w14:textId="77777777" w:rsidR="00A3797A" w:rsidRDefault="00F03FAA">
      <w:pPr>
        <w:pStyle w:val="Heading2"/>
        <w:spacing w:after="80"/>
      </w:pPr>
      <w:r>
        <w:t>TITLE II</w:t>
      </w:r>
    </w:p>
    <w:p w14:paraId="74BBFC80" w14:textId="77777777" w:rsidR="00A3797A" w:rsidRDefault="00F03FAA">
      <w:pPr>
        <w:pStyle w:val="Heading2"/>
        <w:spacing w:after="160"/>
      </w:pPr>
      <w:r>
        <w:t>REGISTRATION REQUIREMENTS AND OBLIGATIONS</w:t>
      </w:r>
    </w:p>
    <w:p w14:paraId="6AD2B7DA" w14:textId="77777777" w:rsidR="00A3797A" w:rsidRDefault="00F03FAA">
      <w:pPr>
        <w:spacing w:after="160"/>
      </w:pPr>
      <w:r>
        <w:rPr>
          <w:b/>
          <w:bCs/>
        </w:rPr>
        <w:t>Art. 2 (a). </w:t>
      </w:r>
      <w:r>
        <w:t>The persons subject to registration, in accordance with the provisions of this Law, and any person who has been convicted or sentenced for any sexual offense covered by this Registry, must appear before the competent authority to complete the registration procedure within the timeframes established herein.</w:t>
      </w:r>
    </w:p>
    <w:p w14:paraId="30E4220E" w14:textId="77777777" w:rsidR="00A3797A" w:rsidRDefault="00F03FAA">
      <w:pPr>
        <w:spacing w:after="160"/>
      </w:pPr>
      <w:r>
        <w:t>The competent authority shall provide the registrant with a certified copy of the registration, which must be kept at all times and presented upon request by any competent authority. The registered person shall have the obligation to notify any change of address, place of work, or study within the periods established by this Law, as well as any other relevant information required under this Law.</w:t>
      </w:r>
    </w:p>
    <w:p w14:paraId="3AFB304E" w14:textId="77777777" w:rsidR="00A3797A" w:rsidRDefault="00F03FAA">
      <w:pPr>
        <w:spacing w:after="160"/>
      </w:pPr>
      <w:r>
        <w:t>The registered person shall also have the obligation to submit to periodic verification appearances before the competent authority, as established in this Law, as well as to comply with all other obligations derived from their registered status, which shall include providing updated information regarding their physical appearance, residence, employment, educational status, and any other information required to maintain the integrity of the Registry.</w:t>
      </w:r>
    </w:p>
    <w:p w14:paraId="5178E32C" w14:textId="77777777" w:rsidR="00A3797A" w:rsidRDefault="00F03FAA">
      <w:pPr>
        <w:spacing w:after="200"/>
      </w:pPr>
      <w:r>
        <w:t>The costs associated with registration shall be borne by the competent authority responsible for the Registry.</w:t>
      </w:r>
    </w:p>
    <w:p w14:paraId="25AFE9B9" w14:textId="77777777" w:rsidR="00A3797A" w:rsidRDefault="00F03FAA">
      <w:pPr>
        <w:spacing w:after="160"/>
      </w:pPr>
      <w:r>
        <w:rPr>
          <w:b/>
          <w:bCs/>
        </w:rPr>
        <w:t>Art. 2 (b). </w:t>
      </w:r>
      <w:r>
        <w:t>The persons responsible for verifying compliance with the obligations established in this Law shall ensure that any person required to register under this Law does so in a timely and complete manner.</w:t>
      </w:r>
    </w:p>
    <w:p w14:paraId="68A636C5" w14:textId="77777777" w:rsidR="00A3797A" w:rsidRDefault="00F03FAA">
      <w:pPr>
        <w:pBdr>
          <w:top w:val="single" w:sz="4" w:space="0" w:color="888888"/>
        </w:pBdr>
        <w:spacing w:before="400" w:after="80"/>
      </w:pPr>
      <w:r>
        <w:rPr>
          <w:b/>
          <w:bCs/>
          <w:i/>
          <w:iCs/>
          <w:sz w:val="20"/>
          <w:szCs w:val="20"/>
        </w:rPr>
        <w:t>Translator's Note</w:t>
      </w:r>
    </w:p>
    <w:p w14:paraId="4B90183B" w14:textId="77777777" w:rsidR="00A3797A" w:rsidRDefault="00F03FAA">
      <w:r>
        <w:rPr>
          <w:i/>
          <w:iCs/>
          <w:sz w:val="20"/>
          <w:szCs w:val="20"/>
        </w:rPr>
        <w:t>This translation was prepared from a scanned PDF source. Portions of the original document (particularly in the lower half of page 2) contained significant OCR degradation, garbled character sequences, and fragmented text rendering the exact statutory language of certain articles ambiguous. The translation above reflects the most accurate interpretation of the legible content. Readers requiring certified legal accuracy should consult the original official Spanish-language text published in the Diario Oficia</w:t>
      </w:r>
      <w:r>
        <w:rPr>
          <w:i/>
          <w:iCs/>
          <w:sz w:val="20"/>
          <w:szCs w:val="20"/>
        </w:rPr>
        <w:t>l of El Salvador.</w:t>
      </w:r>
    </w:p>
    <w:sectPr w:rsidR="00A379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41A8"/>
    <w:multiLevelType w:val="hybridMultilevel"/>
    <w:tmpl w:val="011E3492"/>
    <w:lvl w:ilvl="0" w:tplc="55FAC0F2">
      <w:start w:val="1"/>
      <w:numFmt w:val="upperRoman"/>
      <w:lvlText w:val="%1."/>
      <w:lvlJc w:val="left"/>
      <w:pPr>
        <w:ind w:left="720" w:hanging="360"/>
      </w:pPr>
    </w:lvl>
    <w:lvl w:ilvl="1" w:tplc="8F5AEB3C">
      <w:numFmt w:val="decimal"/>
      <w:lvlText w:val=""/>
      <w:lvlJc w:val="left"/>
    </w:lvl>
    <w:lvl w:ilvl="2" w:tplc="0B14654E">
      <w:numFmt w:val="decimal"/>
      <w:lvlText w:val=""/>
      <w:lvlJc w:val="left"/>
    </w:lvl>
    <w:lvl w:ilvl="3" w:tplc="E62A6BF6">
      <w:numFmt w:val="decimal"/>
      <w:lvlText w:val=""/>
      <w:lvlJc w:val="left"/>
    </w:lvl>
    <w:lvl w:ilvl="4" w:tplc="5630EA60">
      <w:numFmt w:val="decimal"/>
      <w:lvlText w:val=""/>
      <w:lvlJc w:val="left"/>
    </w:lvl>
    <w:lvl w:ilvl="5" w:tplc="1E2AA41C">
      <w:numFmt w:val="decimal"/>
      <w:lvlText w:val=""/>
      <w:lvlJc w:val="left"/>
    </w:lvl>
    <w:lvl w:ilvl="6" w:tplc="628CEF34">
      <w:numFmt w:val="decimal"/>
      <w:lvlText w:val=""/>
      <w:lvlJc w:val="left"/>
    </w:lvl>
    <w:lvl w:ilvl="7" w:tplc="671E52B4">
      <w:numFmt w:val="decimal"/>
      <w:lvlText w:val=""/>
      <w:lvlJc w:val="left"/>
    </w:lvl>
    <w:lvl w:ilvl="8" w:tplc="18721364">
      <w:numFmt w:val="decimal"/>
      <w:lvlText w:val=""/>
      <w:lvlJc w:val="left"/>
    </w:lvl>
  </w:abstractNum>
  <w:abstractNum w:abstractNumId="1" w15:restartNumberingAfterBreak="0">
    <w:nsid w:val="77DB6809"/>
    <w:multiLevelType w:val="hybridMultilevel"/>
    <w:tmpl w:val="F45AA2B2"/>
    <w:lvl w:ilvl="0" w:tplc="1E2A8DF0">
      <w:start w:val="1"/>
      <w:numFmt w:val="lowerLetter"/>
      <w:lvlText w:val="%1)"/>
      <w:lvlJc w:val="left"/>
      <w:pPr>
        <w:ind w:left="720" w:hanging="360"/>
      </w:pPr>
    </w:lvl>
    <w:lvl w:ilvl="1" w:tplc="A0B24C56">
      <w:numFmt w:val="decimal"/>
      <w:lvlText w:val=""/>
      <w:lvlJc w:val="left"/>
    </w:lvl>
    <w:lvl w:ilvl="2" w:tplc="0EDC5936">
      <w:numFmt w:val="decimal"/>
      <w:lvlText w:val=""/>
      <w:lvlJc w:val="left"/>
    </w:lvl>
    <w:lvl w:ilvl="3" w:tplc="FD600C00">
      <w:numFmt w:val="decimal"/>
      <w:lvlText w:val=""/>
      <w:lvlJc w:val="left"/>
    </w:lvl>
    <w:lvl w:ilvl="4" w:tplc="A9C09DF6">
      <w:numFmt w:val="decimal"/>
      <w:lvlText w:val=""/>
      <w:lvlJc w:val="left"/>
    </w:lvl>
    <w:lvl w:ilvl="5" w:tplc="4E5C72B0">
      <w:numFmt w:val="decimal"/>
      <w:lvlText w:val=""/>
      <w:lvlJc w:val="left"/>
    </w:lvl>
    <w:lvl w:ilvl="6" w:tplc="267264F4">
      <w:numFmt w:val="decimal"/>
      <w:lvlText w:val=""/>
      <w:lvlJc w:val="left"/>
    </w:lvl>
    <w:lvl w:ilvl="7" w:tplc="3B2EC6FA">
      <w:numFmt w:val="decimal"/>
      <w:lvlText w:val=""/>
      <w:lvlJc w:val="left"/>
    </w:lvl>
    <w:lvl w:ilvl="8" w:tplc="F378F976">
      <w:numFmt w:val="decimal"/>
      <w:lvlText w:val=""/>
      <w:lvlJc w:val="left"/>
    </w:lvl>
  </w:abstractNum>
  <w:abstractNum w:abstractNumId="2" w15:restartNumberingAfterBreak="0">
    <w:nsid w:val="7B850326"/>
    <w:multiLevelType w:val="hybridMultilevel"/>
    <w:tmpl w:val="306A9DC4"/>
    <w:lvl w:ilvl="0" w:tplc="06868DBA">
      <w:start w:val="1"/>
      <w:numFmt w:val="bullet"/>
      <w:lvlText w:val="●"/>
      <w:lvlJc w:val="left"/>
      <w:pPr>
        <w:ind w:left="720" w:hanging="360"/>
      </w:pPr>
    </w:lvl>
    <w:lvl w:ilvl="1" w:tplc="9A8C83D0">
      <w:start w:val="1"/>
      <w:numFmt w:val="bullet"/>
      <w:lvlText w:val="○"/>
      <w:lvlJc w:val="left"/>
      <w:pPr>
        <w:ind w:left="1440" w:hanging="360"/>
      </w:pPr>
    </w:lvl>
    <w:lvl w:ilvl="2" w:tplc="47DE8284">
      <w:start w:val="1"/>
      <w:numFmt w:val="bullet"/>
      <w:lvlText w:val="■"/>
      <w:lvlJc w:val="left"/>
      <w:pPr>
        <w:ind w:left="2160" w:hanging="360"/>
      </w:pPr>
    </w:lvl>
    <w:lvl w:ilvl="3" w:tplc="A006A46A">
      <w:start w:val="1"/>
      <w:numFmt w:val="bullet"/>
      <w:lvlText w:val="●"/>
      <w:lvlJc w:val="left"/>
      <w:pPr>
        <w:ind w:left="2880" w:hanging="360"/>
      </w:pPr>
    </w:lvl>
    <w:lvl w:ilvl="4" w:tplc="E432E3FE">
      <w:start w:val="1"/>
      <w:numFmt w:val="bullet"/>
      <w:lvlText w:val="○"/>
      <w:lvlJc w:val="left"/>
      <w:pPr>
        <w:ind w:left="3600" w:hanging="360"/>
      </w:pPr>
    </w:lvl>
    <w:lvl w:ilvl="5" w:tplc="4ABC8932">
      <w:start w:val="1"/>
      <w:numFmt w:val="bullet"/>
      <w:lvlText w:val="■"/>
      <w:lvlJc w:val="left"/>
      <w:pPr>
        <w:ind w:left="4320" w:hanging="360"/>
      </w:pPr>
    </w:lvl>
    <w:lvl w:ilvl="6" w:tplc="E5241E5E">
      <w:start w:val="1"/>
      <w:numFmt w:val="bullet"/>
      <w:lvlText w:val="●"/>
      <w:lvlJc w:val="left"/>
      <w:pPr>
        <w:ind w:left="5040" w:hanging="360"/>
      </w:pPr>
    </w:lvl>
    <w:lvl w:ilvl="7" w:tplc="731EE9F0">
      <w:start w:val="1"/>
      <w:numFmt w:val="bullet"/>
      <w:lvlText w:val="●"/>
      <w:lvlJc w:val="left"/>
      <w:pPr>
        <w:ind w:left="5760" w:hanging="360"/>
      </w:pPr>
    </w:lvl>
    <w:lvl w:ilvl="8" w:tplc="4192EFDA">
      <w:start w:val="1"/>
      <w:numFmt w:val="bullet"/>
      <w:lvlText w:val="●"/>
      <w:lvlJc w:val="left"/>
      <w:pPr>
        <w:ind w:left="6480" w:hanging="360"/>
      </w:pPr>
    </w:lvl>
  </w:abstractNum>
  <w:num w:numId="1" w16cid:durableId="1968580739">
    <w:abstractNumId w:val="2"/>
    <w:lvlOverride w:ilvl="0">
      <w:startOverride w:val="1"/>
    </w:lvlOverride>
  </w:num>
  <w:num w:numId="2" w16cid:durableId="1101878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97A"/>
    <w:rsid w:val="00155D18"/>
    <w:rsid w:val="006658EA"/>
    <w:rsid w:val="00A3797A"/>
    <w:rsid w:val="00F03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1694"/>
  <w15:docId w15:val="{901C3237-2DB7-4415-A536-CE41911B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 McPherson</cp:lastModifiedBy>
  <cp:revision>2</cp:revision>
  <dcterms:created xsi:type="dcterms:W3CDTF">2026-03-19T17:42:00Z</dcterms:created>
  <dcterms:modified xsi:type="dcterms:W3CDTF">2026-03-19T17:42:00Z</dcterms:modified>
</cp:coreProperties>
</file>