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9B35" w14:textId="77777777" w:rsidR="009343E9" w:rsidRDefault="009343E9">
      <w:pPr>
        <w:spacing w:after="400"/>
      </w:pPr>
    </w:p>
    <w:p w14:paraId="256D0C88" w14:textId="77777777" w:rsidR="009343E9" w:rsidRDefault="00E01924">
      <w:pPr>
        <w:spacing w:after="80"/>
        <w:jc w:val="center"/>
      </w:pPr>
      <w:r>
        <w:rPr>
          <w:b/>
          <w:bCs/>
          <w:sz w:val="32"/>
          <w:szCs w:val="32"/>
        </w:rPr>
        <w:t>UNIVERSITY OF EL SALVADOR</w:t>
      </w:r>
    </w:p>
    <w:p w14:paraId="638693CC" w14:textId="77777777" w:rsidR="009343E9" w:rsidRDefault="00E01924">
      <w:pPr>
        <w:spacing w:after="80"/>
        <w:jc w:val="center"/>
      </w:pPr>
      <w:r>
        <w:rPr>
          <w:b/>
          <w:bCs/>
          <w:sz w:val="26"/>
          <w:szCs w:val="26"/>
        </w:rPr>
        <w:t>FACULTY OF JURISPRUDENCE AND SOCIAL SCIENCES</w:t>
      </w:r>
    </w:p>
    <w:p w14:paraId="3CE0E382" w14:textId="77777777" w:rsidR="009343E9" w:rsidRDefault="00E01924">
      <w:pPr>
        <w:spacing w:after="240"/>
        <w:jc w:val="center"/>
      </w:pPr>
      <w:r>
        <w:rPr>
          <w:b/>
          <w:bCs/>
          <w:sz w:val="26"/>
          <w:szCs w:val="26"/>
        </w:rPr>
        <w:t>SCHOOL OF LEGAL SCIENCES</w:t>
      </w:r>
    </w:p>
    <w:p w14:paraId="1A84C95F" w14:textId="77777777" w:rsidR="009343E9" w:rsidRDefault="009343E9">
      <w:pPr>
        <w:pBdr>
          <w:bottom w:val="single" w:sz="4" w:space="0" w:color="888888"/>
        </w:pBdr>
        <w:spacing w:before="240" w:after="240"/>
      </w:pPr>
    </w:p>
    <w:p w14:paraId="732DFE80" w14:textId="77777777" w:rsidR="009343E9" w:rsidRDefault="00E01924">
      <w:pPr>
        <w:spacing w:after="240"/>
        <w:jc w:val="center"/>
      </w:pPr>
      <w:r>
        <w:rPr>
          <w:b/>
          <w:bCs/>
          <w:sz w:val="28"/>
          <w:szCs w:val="28"/>
        </w:rPr>
        <w:t>THE SPECIAL REGISTRY SET FORTH IN ARTICLE 174-A OF THE PENAL CODE AND CONSTITUTIONAL AND INDIVIDUAL GUARANTEES</w:t>
      </w:r>
    </w:p>
    <w:p w14:paraId="46896F28" w14:textId="77777777" w:rsidR="009343E9" w:rsidRDefault="009343E9">
      <w:pPr>
        <w:pBdr>
          <w:bottom w:val="single" w:sz="4" w:space="0" w:color="888888"/>
        </w:pBdr>
        <w:spacing w:before="240" w:after="240"/>
      </w:pPr>
    </w:p>
    <w:p w14:paraId="217A38B6" w14:textId="77777777" w:rsidR="009343E9" w:rsidRDefault="009343E9">
      <w:pPr>
        <w:spacing w:after="120"/>
      </w:pPr>
    </w:p>
    <w:p w14:paraId="68DE5629" w14:textId="77777777" w:rsidR="009343E9" w:rsidRDefault="00E01924">
      <w:pPr>
        <w:spacing w:after="80"/>
        <w:jc w:val="center"/>
      </w:pPr>
      <w:r>
        <w:rPr>
          <w:b/>
          <w:bCs/>
        </w:rPr>
        <w:t>UNDERGRADUATE THESIS</w:t>
      </w:r>
    </w:p>
    <w:p w14:paraId="349C5E01" w14:textId="77777777" w:rsidR="009343E9" w:rsidRDefault="00E01924">
      <w:pPr>
        <w:spacing w:after="240"/>
        <w:jc w:val="center"/>
      </w:pPr>
      <w:r>
        <w:t>SUBMITTED IN PARTIAL FULFILLMENT OF THE REQUIREMENTS FOR THE DEGREE OF BACHELOR OF LEGAL SCIENCES</w:t>
      </w:r>
    </w:p>
    <w:p w14:paraId="6DCF108C" w14:textId="77777777" w:rsidR="009343E9" w:rsidRDefault="009343E9">
      <w:pPr>
        <w:spacing w:after="120"/>
      </w:pPr>
    </w:p>
    <w:p w14:paraId="3BBAAFF0" w14:textId="77777777" w:rsidR="009343E9" w:rsidRDefault="00E01924">
      <w:pPr>
        <w:spacing w:after="80"/>
        <w:jc w:val="center"/>
      </w:pPr>
      <w:r>
        <w:rPr>
          <w:b/>
          <w:bCs/>
        </w:rPr>
        <w:t>SUBMITTED BY:</w:t>
      </w:r>
    </w:p>
    <w:p w14:paraId="03FC6561" w14:textId="77777777" w:rsidR="009343E9" w:rsidRDefault="00E01924">
      <w:pPr>
        <w:spacing w:after="80"/>
        <w:jc w:val="center"/>
      </w:pPr>
      <w:r>
        <w:t>NERIO MENDOZA, MAYRA ALEJANDRA</w:t>
      </w:r>
    </w:p>
    <w:p w14:paraId="04C9EFE4" w14:textId="77777777" w:rsidR="009343E9" w:rsidRDefault="00E01924">
      <w:pPr>
        <w:spacing w:after="240"/>
        <w:jc w:val="center"/>
      </w:pPr>
      <w:r>
        <w:t>ORELLANA CAÑADAS, HERBERT FELIPE</w:t>
      </w:r>
    </w:p>
    <w:p w14:paraId="5204B367" w14:textId="77777777" w:rsidR="009343E9" w:rsidRDefault="00E01924">
      <w:pPr>
        <w:spacing w:after="80"/>
        <w:jc w:val="center"/>
      </w:pPr>
      <w:r>
        <w:rPr>
          <w:b/>
          <w:bCs/>
        </w:rPr>
        <w:t>THESIS ADVISOR:</w:t>
      </w:r>
    </w:p>
    <w:p w14:paraId="19634B64" w14:textId="77777777" w:rsidR="009343E9" w:rsidRDefault="00E01924">
      <w:pPr>
        <w:spacing w:after="240"/>
        <w:jc w:val="center"/>
      </w:pPr>
      <w:r>
        <w:t>LIC. LUIS ANTONIO VILLEDA FIGUEROA</w:t>
      </w:r>
    </w:p>
    <w:p w14:paraId="114FEE0F" w14:textId="77777777" w:rsidR="009343E9" w:rsidRDefault="00E01924">
      <w:pPr>
        <w:jc w:val="center"/>
      </w:pPr>
      <w:r>
        <w:t>UNIVERSITY CITY, SAN SALVADOR, JUNE 2021</w:t>
      </w:r>
    </w:p>
    <w:p w14:paraId="426C67CD" w14:textId="77777777" w:rsidR="009343E9" w:rsidRDefault="009343E9">
      <w:pPr>
        <w:pageBreakBefore/>
      </w:pPr>
    </w:p>
    <w:p w14:paraId="53D6FFB5" w14:textId="77777777" w:rsidR="009343E9" w:rsidRDefault="00E01924">
      <w:pPr>
        <w:spacing w:after="80"/>
        <w:jc w:val="center"/>
      </w:pPr>
      <w:r>
        <w:rPr>
          <w:b/>
          <w:bCs/>
          <w:i/>
          <w:iCs/>
          <w:sz w:val="20"/>
          <w:szCs w:val="20"/>
        </w:rPr>
        <w:t>TRANSLATOR'S NOTE</w:t>
      </w:r>
    </w:p>
    <w:p w14:paraId="7A1CB398" w14:textId="77777777" w:rsidR="009343E9" w:rsidRDefault="00E01924">
      <w:pPr>
        <w:pBdr>
          <w:bottom w:val="single" w:sz="2" w:space="0" w:color="AAAAAA"/>
        </w:pBdr>
        <w:spacing w:after="240"/>
      </w:pPr>
      <w:r>
        <w:rPr>
          <w:i/>
          <w:iCs/>
          <w:sz w:val="20"/>
          <w:szCs w:val="20"/>
        </w:rPr>
        <w:t>This document contains English translations of selected sections of the above-referenced undergraduate thesis, compiled in section order. Sections not yet translated are omitted. Source language: Latin American Spanish (El Salvador). Some passages in the original PDF exhibited OCR degradation; affected text has been translated based on the best available interpretation.</w:t>
      </w:r>
    </w:p>
    <w:p w14:paraId="3A22BD30" w14:textId="77777777" w:rsidR="009343E9" w:rsidRDefault="009343E9">
      <w:pPr>
        <w:spacing w:after="120"/>
      </w:pPr>
    </w:p>
    <w:p w14:paraId="61C0B4B9" w14:textId="77777777" w:rsidR="009343E9" w:rsidRDefault="00E01924">
      <w:pPr>
        <w:pStyle w:val="Heading2"/>
        <w:spacing w:before="280"/>
      </w:pPr>
      <w:proofErr w:type="gramStart"/>
      <w:r>
        <w:rPr>
          <w:sz w:val="24"/>
          <w:szCs w:val="24"/>
        </w:rPr>
        <w:t>2.5  Sex</w:t>
      </w:r>
      <w:proofErr w:type="gramEnd"/>
      <w:r>
        <w:rPr>
          <w:sz w:val="24"/>
          <w:szCs w:val="24"/>
        </w:rPr>
        <w:t xml:space="preserve"> Offender Registry</w:t>
      </w:r>
    </w:p>
    <w:p w14:paraId="38E218B1" w14:textId="77777777" w:rsidR="009343E9" w:rsidRDefault="00E01924">
      <w:pPr>
        <w:spacing w:after="160"/>
      </w:pPr>
      <w:r>
        <w:t>The Sex Offender Registry is a registry of individuals convicted of offenses against sexual freedom, established through a normative, criminological, criminal-policy, and punitive framework. Its objective is to maintain oversight of individuals who have committed crimes harming the legally protected interest of a sexual nature — specifically sexual freedom, which is protected by law and sanctioned under the Penal Code. This registry was created to allow authorities to better track individuals who have alrea</w:t>
      </w:r>
      <w:r>
        <w:t xml:space="preserve">dy served a sentence, ensuring that the State maintains follow-up on such </w:t>
      </w:r>
      <w:proofErr w:type="gramStart"/>
      <w:r>
        <w:t>persons</w:t>
      </w:r>
      <w:proofErr w:type="gramEnd"/>
      <w:r>
        <w:t xml:space="preserve"> </w:t>
      </w:r>
      <w:proofErr w:type="gramStart"/>
      <w:r>
        <w:t>in order to</w:t>
      </w:r>
      <w:proofErr w:type="gramEnd"/>
      <w:r>
        <w:t xml:space="preserve"> prevent reoffending.</w:t>
      </w:r>
    </w:p>
    <w:p w14:paraId="54D9FEF7" w14:textId="77777777" w:rsidR="009343E9" w:rsidRDefault="00E01924">
      <w:pPr>
        <w:spacing w:after="160"/>
      </w:pPr>
      <w:r>
        <w:t>The registry applies to all persons who have received a final conviction for rape and offenses against sexual freedom, including those who have been definitively released or released through some form of benefit within the country. The database includes names, photographs, the offense committed, place of residence, place of employment, rehabilitation programs completed while in prison, and other general information. Sex offenders remain in the registry for up to four years after completing their sentence.</w:t>
      </w:r>
    </w:p>
    <w:p w14:paraId="4A171A34" w14:textId="77777777" w:rsidR="009343E9" w:rsidRDefault="00E01924">
      <w:pPr>
        <w:spacing w:after="160"/>
      </w:pPr>
      <w:r>
        <w:t>The registry also seeks to restrict individuals convicted of rape or sexual assault, following the completion of their sentence, from working in settings where they would have direct contact with children, adolescents, or persons with disabilities — thereby preventing reoffending and further harm to the legally protected interest that the registry is designed to safeguard.</w:t>
      </w:r>
    </w:p>
    <w:p w14:paraId="735519E0" w14:textId="77777777" w:rsidR="009343E9" w:rsidRDefault="00E01924">
      <w:pPr>
        <w:spacing w:after="160"/>
      </w:pPr>
      <w:r>
        <w:t>The registry is under the custody of the General Directorate of Penal Centers, which is responsible for its administration and enforcement.</w:t>
      </w:r>
    </w:p>
    <w:p w14:paraId="22CE902D" w14:textId="77777777" w:rsidR="009343E9" w:rsidRDefault="00E01924">
      <w:pPr>
        <w:spacing w:before="200" w:after="100"/>
      </w:pPr>
      <w:proofErr w:type="gramStart"/>
      <w:r>
        <w:rPr>
          <w:b/>
          <w:bCs/>
          <w:u w:val="single"/>
        </w:rPr>
        <w:t>2.5.1  Basis</w:t>
      </w:r>
      <w:proofErr w:type="gramEnd"/>
      <w:r>
        <w:rPr>
          <w:b/>
          <w:bCs/>
          <w:u w:val="single"/>
        </w:rPr>
        <w:t xml:space="preserve"> for the Creation of the Sex Offender Registry</w:t>
      </w:r>
    </w:p>
    <w:p w14:paraId="697DD41B" w14:textId="77777777" w:rsidR="009343E9" w:rsidRDefault="00E01924">
      <w:pPr>
        <w:spacing w:after="160"/>
      </w:pPr>
      <w:r>
        <w:t>To address the rationale behind the creation of the sex offender registry, it is necessary to begin from the premise that "sexual violence has an impact on the lives of the women, adolescents, and girls who suffer it, both as a potential threat and as a realized act. Experiences of sexual violence and the fear of it limit the freedom and autonomy of women, their right to mobility, education, recreation, collective organization, and political participation."²⁶</w:t>
      </w:r>
    </w:p>
    <w:p w14:paraId="1B3EEDC5" w14:textId="77777777" w:rsidR="009343E9" w:rsidRDefault="00E01924">
      <w:pPr>
        <w:spacing w:after="160"/>
      </w:pPr>
      <w:r>
        <w:t>Starting from this premise, many countries have viewed the inclusion of this type of registry in their laws favorably, as a tool that would help protect against the future threats posed by individuals convicted of offenses against sexual freedom. "These offenses have a characteristic that distinguishes them from most crimes typified in the Penal Code: habitual behavior is far more frequent, recidivism occurs at alarmingly higher rates than in other cases, and very few complaints result in a conviction."²⁷</w:t>
      </w:r>
    </w:p>
    <w:p w14:paraId="58346FDD" w14:textId="77777777" w:rsidR="009343E9" w:rsidRDefault="00E01924">
      <w:pPr>
        <w:spacing w:after="160"/>
      </w:pPr>
      <w:proofErr w:type="gramStart"/>
      <w:r>
        <w:t>With this in mind, it</w:t>
      </w:r>
      <w:proofErr w:type="gramEnd"/>
      <w:r>
        <w:t xml:space="preserve"> is understood that in El Salvador the right to freedom is protected by the Constitution. Article 2 of the Constitution recognizes freedom as a fundamental right of the </w:t>
      </w:r>
      <w:r>
        <w:lastRenderedPageBreak/>
        <w:t xml:space="preserve">person, and in accordance with Article 1 of the Constitution, it is the obligation of the Salvadoran State to ensure that the inhabitants of the Republic enjoy this fundamental right. It is for this reason that the creation of this registry emerged as a motivated response — to serve as a guarantee that </w:t>
      </w:r>
      <w:proofErr w:type="gramStart"/>
      <w:r>
        <w:t>persons</w:t>
      </w:r>
      <w:proofErr w:type="gramEnd"/>
      <w:r>
        <w:t xml:space="preserve"> convicted of these offenses wil</w:t>
      </w:r>
      <w:r>
        <w:t>l not again engage in acts that harm the legally protected interest which the State is constitutionally obligated to protect as a fundamental right.</w:t>
      </w:r>
    </w:p>
    <w:p w14:paraId="6EB44E32" w14:textId="77777777" w:rsidR="009343E9" w:rsidRDefault="00E01924">
      <w:pPr>
        <w:spacing w:before="200" w:after="100"/>
      </w:pPr>
      <w:proofErr w:type="gramStart"/>
      <w:r>
        <w:rPr>
          <w:b/>
          <w:bCs/>
          <w:u w:val="single"/>
        </w:rPr>
        <w:t>2.5.2  Purpose</w:t>
      </w:r>
      <w:proofErr w:type="gramEnd"/>
      <w:r>
        <w:rPr>
          <w:b/>
          <w:bCs/>
          <w:u w:val="single"/>
        </w:rPr>
        <w:t xml:space="preserve"> of the Special Sex Offender Registry</w:t>
      </w:r>
    </w:p>
    <w:p w14:paraId="1628B6FF" w14:textId="77777777" w:rsidR="009343E9" w:rsidRDefault="00E01924">
      <w:pPr>
        <w:spacing w:after="160"/>
      </w:pPr>
      <w:r>
        <w:t>The primary purpose of the sex offender registry is to protect individuals from exposure to crimes against sexual freedom, through a prevention mechanism that ensures those who have received a final conviction for such offenses cannot engage in activities or practice professions or trades that involve regular contact with minors, women, or persons who are vulnerable to these crimes. It likewise aims to provide authorities with a tool to maintain oversight of these individuals, so that if they become suspect</w:t>
      </w:r>
      <w:r>
        <w:t>s in the commission of a new offense, authorities may have direct access to apply the law — which would serve to:</w:t>
      </w:r>
    </w:p>
    <w:p w14:paraId="33011E98" w14:textId="77777777" w:rsidR="009343E9" w:rsidRDefault="00E01924">
      <w:pPr>
        <w:pStyle w:val="ListParagraph"/>
        <w:numPr>
          <w:ilvl w:val="0"/>
          <w:numId w:val="2"/>
        </w:numPr>
        <w:spacing w:after="80"/>
      </w:pPr>
      <w:proofErr w:type="gramStart"/>
      <w:r>
        <w:t>Contribute</w:t>
      </w:r>
      <w:proofErr w:type="gramEnd"/>
      <w:r>
        <w:t xml:space="preserve"> to the prevention and protection of minors against sexual criminal conduct.</w:t>
      </w:r>
    </w:p>
    <w:p w14:paraId="4CFF6B69" w14:textId="77777777" w:rsidR="009343E9" w:rsidRDefault="00E01924">
      <w:pPr>
        <w:pStyle w:val="ListParagraph"/>
        <w:numPr>
          <w:ilvl w:val="0"/>
          <w:numId w:val="2"/>
        </w:numPr>
        <w:spacing w:after="80"/>
      </w:pPr>
      <w:r>
        <w:t>Facilitate the investigation and prosecution of sexual offenses.</w:t>
      </w:r>
    </w:p>
    <w:p w14:paraId="7DC86BD7" w14:textId="77777777" w:rsidR="009343E9" w:rsidRDefault="00E01924">
      <w:pPr>
        <w:pStyle w:val="ListParagraph"/>
        <w:numPr>
          <w:ilvl w:val="0"/>
          <w:numId w:val="2"/>
        </w:numPr>
        <w:spacing w:after="80"/>
      </w:pPr>
      <w:r>
        <w:t>Establish effective mechanisms of cooperation in combating this type of crime with judicial and law enforcement authorities of other countries.</w:t>
      </w:r>
    </w:p>
    <w:p w14:paraId="0CDE0900" w14:textId="77777777" w:rsidR="009343E9" w:rsidRDefault="00E01924">
      <w:pPr>
        <w:pStyle w:val="ListParagraph"/>
        <w:numPr>
          <w:ilvl w:val="0"/>
          <w:numId w:val="2"/>
        </w:numPr>
        <w:spacing w:after="160"/>
      </w:pPr>
      <w:r>
        <w:t xml:space="preserve">Incorporate into the legal system supranational regulations protecting children and adolescents against sexual exploitation and abuse, and any offense against sexual </w:t>
      </w:r>
      <w:proofErr w:type="gramStart"/>
      <w:r>
        <w:t>freedom.²</w:t>
      </w:r>
      <w:proofErr w:type="gramEnd"/>
      <w:r>
        <w:t>⁸</w:t>
      </w:r>
    </w:p>
    <w:p w14:paraId="3D0BFC13" w14:textId="77777777" w:rsidR="009343E9" w:rsidRDefault="00E01924">
      <w:pPr>
        <w:spacing w:after="160"/>
      </w:pPr>
      <w:r>
        <w:t>According to Legislative Decree No. 553, the spirit behind the creation of the registry is to give the public access to information about individuals who have been convicted of offenses against sexual freedom, so that, upon their release, they do not pose a public threat — particularly to minors, who represent one of the most vulnerable groups.</w:t>
      </w:r>
    </w:p>
    <w:p w14:paraId="0FD22BCA" w14:textId="77777777" w:rsidR="009343E9" w:rsidRDefault="009343E9">
      <w:pPr>
        <w:spacing w:after="80"/>
      </w:pPr>
    </w:p>
    <w:p w14:paraId="0CE6916B" w14:textId="77777777" w:rsidR="009343E9" w:rsidRDefault="00E01924">
      <w:pPr>
        <w:spacing w:after="80"/>
      </w:pPr>
      <w:r>
        <w:rPr>
          <w:i/>
          <w:iCs/>
          <w:sz w:val="18"/>
          <w:szCs w:val="18"/>
        </w:rPr>
        <w:t>²⁶ Hazel Jazmín Bolaños Vásquez, "</w:t>
      </w:r>
      <w:proofErr w:type="spellStart"/>
      <w:r>
        <w:rPr>
          <w:i/>
          <w:iCs/>
          <w:sz w:val="18"/>
          <w:szCs w:val="18"/>
        </w:rPr>
        <w:t>Regulación</w:t>
      </w:r>
      <w:proofErr w:type="spellEnd"/>
      <w:r>
        <w:rPr>
          <w:i/>
          <w:iCs/>
          <w:sz w:val="18"/>
          <w:szCs w:val="18"/>
        </w:rPr>
        <w:t xml:space="preserve"> </w:t>
      </w:r>
      <w:proofErr w:type="spellStart"/>
      <w:r>
        <w:rPr>
          <w:i/>
          <w:iCs/>
          <w:sz w:val="18"/>
          <w:szCs w:val="18"/>
        </w:rPr>
        <w:t>jurídico</w:t>
      </w:r>
      <w:proofErr w:type="spellEnd"/>
      <w:r>
        <w:rPr>
          <w:i/>
          <w:iCs/>
          <w:sz w:val="18"/>
          <w:szCs w:val="18"/>
        </w:rPr>
        <w:t xml:space="preserve">-penal de </w:t>
      </w:r>
      <w:proofErr w:type="spellStart"/>
      <w:r>
        <w:rPr>
          <w:i/>
          <w:iCs/>
          <w:sz w:val="18"/>
          <w:szCs w:val="18"/>
        </w:rPr>
        <w:t>los</w:t>
      </w:r>
      <w:proofErr w:type="spellEnd"/>
      <w:r>
        <w:rPr>
          <w:i/>
          <w:iCs/>
          <w:sz w:val="18"/>
          <w:szCs w:val="18"/>
        </w:rPr>
        <w:t xml:space="preserve"> </w:t>
      </w:r>
      <w:proofErr w:type="spellStart"/>
      <w:r>
        <w:rPr>
          <w:i/>
          <w:iCs/>
          <w:sz w:val="18"/>
          <w:szCs w:val="18"/>
        </w:rPr>
        <w:t>delitos</w:t>
      </w:r>
      <w:proofErr w:type="spellEnd"/>
      <w:r>
        <w:rPr>
          <w:i/>
          <w:iCs/>
          <w:sz w:val="18"/>
          <w:szCs w:val="18"/>
        </w:rPr>
        <w:t xml:space="preserve"> </w:t>
      </w:r>
      <w:proofErr w:type="spellStart"/>
      <w:r>
        <w:rPr>
          <w:i/>
          <w:iCs/>
          <w:sz w:val="18"/>
          <w:szCs w:val="18"/>
        </w:rPr>
        <w:t>sexuales</w:t>
      </w:r>
      <w:proofErr w:type="spellEnd"/>
      <w:r>
        <w:rPr>
          <w:i/>
          <w:iCs/>
          <w:sz w:val="18"/>
          <w:szCs w:val="18"/>
        </w:rPr>
        <w:t xml:space="preserve"> </w:t>
      </w:r>
      <w:proofErr w:type="spellStart"/>
      <w:r>
        <w:rPr>
          <w:i/>
          <w:iCs/>
          <w:sz w:val="18"/>
          <w:szCs w:val="18"/>
        </w:rPr>
        <w:t>en</w:t>
      </w:r>
      <w:proofErr w:type="spellEnd"/>
      <w:r>
        <w:rPr>
          <w:i/>
          <w:iCs/>
          <w:sz w:val="18"/>
          <w:szCs w:val="18"/>
        </w:rPr>
        <w:t xml:space="preserve"> El Salvador. </w:t>
      </w:r>
      <w:proofErr w:type="spellStart"/>
      <w:r>
        <w:rPr>
          <w:i/>
          <w:iCs/>
          <w:sz w:val="18"/>
          <w:szCs w:val="18"/>
        </w:rPr>
        <w:t>Análisis</w:t>
      </w:r>
      <w:proofErr w:type="spellEnd"/>
      <w:r>
        <w:rPr>
          <w:i/>
          <w:iCs/>
          <w:sz w:val="18"/>
          <w:szCs w:val="18"/>
        </w:rPr>
        <w:t xml:space="preserve"> </w:t>
      </w:r>
      <w:proofErr w:type="spellStart"/>
      <w:r>
        <w:rPr>
          <w:i/>
          <w:iCs/>
          <w:sz w:val="18"/>
          <w:szCs w:val="18"/>
        </w:rPr>
        <w:t>desde</w:t>
      </w:r>
      <w:proofErr w:type="spellEnd"/>
      <w:r>
        <w:rPr>
          <w:i/>
          <w:iCs/>
          <w:sz w:val="18"/>
          <w:szCs w:val="18"/>
        </w:rPr>
        <w:t xml:space="preserve"> </w:t>
      </w:r>
      <w:proofErr w:type="spellStart"/>
      <w:r>
        <w:rPr>
          <w:i/>
          <w:iCs/>
          <w:sz w:val="18"/>
          <w:szCs w:val="18"/>
        </w:rPr>
        <w:t>una</w:t>
      </w:r>
      <w:proofErr w:type="spellEnd"/>
      <w:r>
        <w:rPr>
          <w:i/>
          <w:iCs/>
          <w:sz w:val="18"/>
          <w:szCs w:val="18"/>
        </w:rPr>
        <w:t xml:space="preserve"> </w:t>
      </w:r>
      <w:proofErr w:type="spellStart"/>
      <w:r>
        <w:rPr>
          <w:i/>
          <w:iCs/>
          <w:sz w:val="18"/>
          <w:szCs w:val="18"/>
        </w:rPr>
        <w:t>perspectiva</w:t>
      </w:r>
      <w:proofErr w:type="spellEnd"/>
      <w:r>
        <w:rPr>
          <w:i/>
          <w:iCs/>
          <w:sz w:val="18"/>
          <w:szCs w:val="18"/>
        </w:rPr>
        <w:t xml:space="preserve"> de </w:t>
      </w:r>
      <w:proofErr w:type="spellStart"/>
      <w:r>
        <w:rPr>
          <w:i/>
          <w:iCs/>
          <w:sz w:val="18"/>
          <w:szCs w:val="18"/>
        </w:rPr>
        <w:t>género</w:t>
      </w:r>
      <w:proofErr w:type="spellEnd"/>
      <w:r>
        <w:rPr>
          <w:i/>
          <w:iCs/>
          <w:sz w:val="18"/>
          <w:szCs w:val="18"/>
        </w:rPr>
        <w:t xml:space="preserve">," </w:t>
      </w:r>
      <w:proofErr w:type="spellStart"/>
      <w:r>
        <w:rPr>
          <w:i/>
          <w:iCs/>
          <w:sz w:val="18"/>
          <w:szCs w:val="18"/>
        </w:rPr>
        <w:t>Realidad</w:t>
      </w:r>
      <w:proofErr w:type="spellEnd"/>
      <w:r>
        <w:rPr>
          <w:i/>
          <w:iCs/>
          <w:sz w:val="18"/>
          <w:szCs w:val="18"/>
        </w:rPr>
        <w:t xml:space="preserve"> y </w:t>
      </w:r>
      <w:proofErr w:type="spellStart"/>
      <w:r>
        <w:rPr>
          <w:i/>
          <w:iCs/>
          <w:sz w:val="18"/>
          <w:szCs w:val="18"/>
        </w:rPr>
        <w:t>Reflexión</w:t>
      </w:r>
      <w:proofErr w:type="spellEnd"/>
      <w:r>
        <w:rPr>
          <w:i/>
          <w:iCs/>
          <w:sz w:val="18"/>
          <w:szCs w:val="18"/>
        </w:rPr>
        <w:t>, no. 41 (2015): 78, http://icti.ufg.edu.sv/doc/ryrn41-b.vasquez.pdf</w:t>
      </w:r>
    </w:p>
    <w:p w14:paraId="04656FB8" w14:textId="77777777" w:rsidR="009343E9" w:rsidRDefault="00E01924">
      <w:pPr>
        <w:spacing w:after="80"/>
      </w:pPr>
      <w:r>
        <w:rPr>
          <w:i/>
          <w:iCs/>
          <w:sz w:val="18"/>
          <w:szCs w:val="18"/>
        </w:rPr>
        <w:t>²⁷ Chávez Calderón, Mireya, "</w:t>
      </w:r>
      <w:proofErr w:type="spellStart"/>
      <w:r>
        <w:rPr>
          <w:i/>
          <w:iCs/>
          <w:sz w:val="18"/>
          <w:szCs w:val="18"/>
        </w:rPr>
        <w:t>Necesidad</w:t>
      </w:r>
      <w:proofErr w:type="spellEnd"/>
      <w:r>
        <w:rPr>
          <w:i/>
          <w:iCs/>
          <w:sz w:val="18"/>
          <w:szCs w:val="18"/>
        </w:rPr>
        <w:t xml:space="preserve"> del </w:t>
      </w:r>
      <w:proofErr w:type="spellStart"/>
      <w:r>
        <w:rPr>
          <w:i/>
          <w:iCs/>
          <w:sz w:val="18"/>
          <w:szCs w:val="18"/>
        </w:rPr>
        <w:t>registro</w:t>
      </w:r>
      <w:proofErr w:type="spellEnd"/>
      <w:r>
        <w:rPr>
          <w:i/>
          <w:iCs/>
          <w:sz w:val="18"/>
          <w:szCs w:val="18"/>
        </w:rPr>
        <w:t xml:space="preserve"> </w:t>
      </w:r>
      <w:proofErr w:type="spellStart"/>
      <w:r>
        <w:rPr>
          <w:i/>
          <w:iCs/>
          <w:sz w:val="18"/>
          <w:szCs w:val="18"/>
        </w:rPr>
        <w:t>nacional</w:t>
      </w:r>
      <w:proofErr w:type="spellEnd"/>
      <w:r>
        <w:rPr>
          <w:i/>
          <w:iCs/>
          <w:sz w:val="18"/>
          <w:szCs w:val="18"/>
        </w:rPr>
        <w:t xml:space="preserve"> de </w:t>
      </w:r>
      <w:proofErr w:type="spellStart"/>
      <w:r>
        <w:rPr>
          <w:i/>
          <w:iCs/>
          <w:sz w:val="18"/>
          <w:szCs w:val="18"/>
        </w:rPr>
        <w:t>abusadores</w:t>
      </w:r>
      <w:proofErr w:type="spellEnd"/>
      <w:r>
        <w:rPr>
          <w:i/>
          <w:iCs/>
          <w:sz w:val="18"/>
          <w:szCs w:val="18"/>
        </w:rPr>
        <w:t xml:space="preserve"> </w:t>
      </w:r>
      <w:proofErr w:type="spellStart"/>
      <w:r>
        <w:rPr>
          <w:i/>
          <w:iCs/>
          <w:sz w:val="18"/>
          <w:szCs w:val="18"/>
        </w:rPr>
        <w:t>sexuales</w:t>
      </w:r>
      <w:proofErr w:type="spellEnd"/>
      <w:r>
        <w:rPr>
          <w:i/>
          <w:iCs/>
          <w:sz w:val="18"/>
          <w:szCs w:val="18"/>
        </w:rPr>
        <w:t>" (undergraduate thesis, Universidad Mayor de San Andrés, 2014), 100.</w:t>
      </w:r>
    </w:p>
    <w:p w14:paraId="427BA203" w14:textId="77777777" w:rsidR="009343E9" w:rsidRDefault="00E01924">
      <w:pPr>
        <w:spacing w:after="80"/>
      </w:pPr>
      <w:r>
        <w:rPr>
          <w:i/>
          <w:iCs/>
          <w:sz w:val="18"/>
          <w:szCs w:val="18"/>
        </w:rPr>
        <w:t xml:space="preserve">²⁸ Javier Martín González, "El Registro Central de </w:t>
      </w:r>
      <w:proofErr w:type="spellStart"/>
      <w:r>
        <w:rPr>
          <w:i/>
          <w:iCs/>
          <w:sz w:val="18"/>
          <w:szCs w:val="18"/>
        </w:rPr>
        <w:t>Delincuentes</w:t>
      </w:r>
      <w:proofErr w:type="spellEnd"/>
      <w:r>
        <w:rPr>
          <w:i/>
          <w:iCs/>
          <w:sz w:val="18"/>
          <w:szCs w:val="18"/>
        </w:rPr>
        <w:t xml:space="preserve"> </w:t>
      </w:r>
      <w:proofErr w:type="spellStart"/>
      <w:r>
        <w:rPr>
          <w:i/>
          <w:iCs/>
          <w:sz w:val="18"/>
          <w:szCs w:val="18"/>
        </w:rPr>
        <w:t>Sexuales</w:t>
      </w:r>
      <w:proofErr w:type="spellEnd"/>
      <w:r>
        <w:rPr>
          <w:i/>
          <w:iCs/>
          <w:sz w:val="18"/>
          <w:szCs w:val="18"/>
        </w:rPr>
        <w:t xml:space="preserve"> </w:t>
      </w:r>
      <w:proofErr w:type="spellStart"/>
      <w:r>
        <w:rPr>
          <w:i/>
          <w:iCs/>
          <w:sz w:val="18"/>
          <w:szCs w:val="18"/>
        </w:rPr>
        <w:t>en</w:t>
      </w:r>
      <w:proofErr w:type="spellEnd"/>
      <w:r>
        <w:rPr>
          <w:i/>
          <w:iCs/>
          <w:sz w:val="18"/>
          <w:szCs w:val="18"/>
        </w:rPr>
        <w:t xml:space="preserve"> España" (undergraduate thesis, Universidad Miguel Hernández, 2015), 6.</w:t>
      </w:r>
    </w:p>
    <w:p w14:paraId="1C032176" w14:textId="77777777" w:rsidR="009343E9" w:rsidRDefault="009343E9">
      <w:pPr>
        <w:pageBreakBefore/>
      </w:pPr>
    </w:p>
    <w:p w14:paraId="3F277393" w14:textId="77777777" w:rsidR="009343E9" w:rsidRDefault="00E01924">
      <w:pPr>
        <w:pStyle w:val="Heading2"/>
        <w:spacing w:before="280"/>
      </w:pPr>
      <w:proofErr w:type="gramStart"/>
      <w:r>
        <w:rPr>
          <w:sz w:val="24"/>
          <w:szCs w:val="24"/>
        </w:rPr>
        <w:t>3.5  Analysis</w:t>
      </w:r>
      <w:proofErr w:type="gramEnd"/>
      <w:r>
        <w:rPr>
          <w:sz w:val="24"/>
          <w:szCs w:val="24"/>
        </w:rPr>
        <w:t xml:space="preserve"> of Whether the Sex Offender Registry Under Article 174-A of the Penal Code Is Fulfilling Its Purpose</w:t>
      </w:r>
    </w:p>
    <w:p w14:paraId="6789A1B8" w14:textId="77777777" w:rsidR="009343E9" w:rsidRDefault="00E01924">
      <w:pPr>
        <w:spacing w:after="160"/>
      </w:pPr>
      <w:r>
        <w:t>The Special Registry, or Sex Offender Registry, is a system implemented by many countries designed to allow government authorities to track the residence and activities of sex offenders, including those who have already served their sentences. This registry covers individuals convicted of offenses against sexual freedom, with the goal of maintaining oversight of those who have committed crimes that harm the legally protected interest of a sexual nature — specifically sexual freedom — which is protected by l</w:t>
      </w:r>
      <w:r>
        <w:t>aw and sanctioned under the Penal Code.</w:t>
      </w:r>
    </w:p>
    <w:p w14:paraId="260E0F73" w14:textId="77777777" w:rsidR="009343E9" w:rsidRDefault="00E01924">
      <w:pPr>
        <w:spacing w:after="160"/>
      </w:pPr>
      <w:r>
        <w:t>The Special Registry regulated under Article 174-A of the Penal Code of El Salvador was created by Legislative Decree No. 553 in December 2016, through a legislative initiative by a group of lawmakers who were part of the Women's and Gender Equality Commission of the Legislative Assembly, during a period in which the country recorded high rates of violence against women as well as crimes against sexual freedom.</w:t>
      </w:r>
    </w:p>
    <w:p w14:paraId="04736F12" w14:textId="77777777" w:rsidR="009343E9" w:rsidRDefault="00E01924">
      <w:pPr>
        <w:spacing w:after="160"/>
      </w:pPr>
      <w:r>
        <w:t>Analyzing the purpose behind the creation of the Registry — which in its recitals establishes prevention and criminal policy as its aims — this research finds reason to conclude that the Registry is not fulfilling its purpose. While the Registry is preventive in nature, the institutions that Article 174-A identifies as having direct access to it — namely: the Attorney General's Office, the National Civil Police, the Competent Courts, the National Criminological Council, the Department of Probation and Super</w:t>
      </w:r>
      <w:r>
        <w:t>vised Release, the National Council for Children and Adolescents, the Ministry of Education, and any person or institution that demonstrates interest and may request a certified record — are not making proper use of it. According to information obtained from the Registry and Control Department of the General Directorate of Penal Centers (DGCP), since the Registry's creation, not one of the institutions listed above has made use of it — meaning no institution has ever requested information from that departme</w:t>
      </w:r>
      <w:r>
        <w:t>nt regarding any individual listed in the Registry.</w:t>
      </w:r>
    </w:p>
    <w:p w14:paraId="5B78B32B" w14:textId="77777777" w:rsidR="009343E9" w:rsidRDefault="00E01924">
      <w:pPr>
        <w:spacing w:after="160"/>
      </w:pPr>
      <w:r>
        <w:t xml:space="preserve">This means the State is not carrying out the preventive oversight function that would ensure the Registry is </w:t>
      </w:r>
      <w:proofErr w:type="gramStart"/>
      <w:r>
        <w:t>actually achieving</w:t>
      </w:r>
      <w:proofErr w:type="gramEnd"/>
      <w:r>
        <w:t xml:space="preserve"> its intended purpose. Similarly, no private individual has shown interest in using the Registry. This can reasonably be attributed to a general lack of public awareness about how the Registry works. For this reason, the Registry cannot be said to be fulfilling the preventive character for which it was created. If the purpose of the Registry is to protect victims from reoffending, but the institutions </w:t>
      </w:r>
      <w:proofErr w:type="gramStart"/>
      <w:r>
        <w:t>empowered</w:t>
      </w:r>
      <w:proofErr w:type="gramEnd"/>
      <w:r>
        <w:t xml:space="preserve"> to exercise and guarantee that oversight over the individuals listed in it are </w:t>
      </w:r>
      <w:r>
        <w:t>not making adequate use of it, then the Registry's purpose is simply not being met.</w:t>
      </w:r>
    </w:p>
    <w:p w14:paraId="407E6A36" w14:textId="77777777" w:rsidR="009343E9" w:rsidRDefault="009343E9">
      <w:pPr>
        <w:pageBreakBefore/>
      </w:pPr>
    </w:p>
    <w:p w14:paraId="4CBD818B" w14:textId="77777777" w:rsidR="009343E9" w:rsidRDefault="00E01924">
      <w:pPr>
        <w:pStyle w:val="Heading2"/>
        <w:spacing w:before="280"/>
      </w:pPr>
      <w:proofErr w:type="gramStart"/>
      <w:r>
        <w:rPr>
          <w:sz w:val="24"/>
          <w:szCs w:val="24"/>
        </w:rPr>
        <w:t>3.6  The</w:t>
      </w:r>
      <w:proofErr w:type="gramEnd"/>
      <w:r>
        <w:rPr>
          <w:sz w:val="24"/>
          <w:szCs w:val="24"/>
        </w:rPr>
        <w:t xml:space="preserve"> Importance of Legal Regulation of the Sex Offender Registry Under Article 174-A of the Penal Code</w:t>
      </w:r>
    </w:p>
    <w:p w14:paraId="1D1F88DD" w14:textId="77777777" w:rsidR="009343E9" w:rsidRDefault="00E01924">
      <w:pPr>
        <w:spacing w:after="160"/>
      </w:pPr>
      <w:r>
        <w:t>The Special Registry regulated under criminal law does not have an internal implementing regulation. Unlike other countries that have specific regulations governing the Registry's application, function, and proper use, El Salvador relies solely on Article 174-A of the Penal Code.</w:t>
      </w:r>
    </w:p>
    <w:p w14:paraId="5DD2582E" w14:textId="77777777" w:rsidR="009343E9" w:rsidRDefault="00E01924">
      <w:pPr>
        <w:spacing w:after="160"/>
      </w:pPr>
      <w:r>
        <w:t>In this regard, it can be determined that there is no regulatory framework to protect the personal information of individuals listed in the Registry. While Article 174-A establishes that "any person who demonstrates an interest" may access the information contained in the Registry, there is no parameter regulating the protection of the personal data of those listed. Countries such as Spain do not leave open the possibility for private individuals to access personal information contained in the registry — on</w:t>
      </w:r>
      <w:r>
        <w:t>ly institutions authorized by the State to maintain oversight may do so.</w:t>
      </w:r>
    </w:p>
    <w:p w14:paraId="698DCB01" w14:textId="77777777" w:rsidR="009343E9" w:rsidRDefault="00E01924">
      <w:pPr>
        <w:spacing w:after="160"/>
      </w:pPr>
      <w:r>
        <w:t>The Registry also lacks a classification system based on the level of harm caused to the protected legal interest, one that would reflect the seriousness of the offense committed — for example, establishing differentiated control over the length of time individuals remain in the Registry based on the nature of their crime.</w:t>
      </w:r>
    </w:p>
    <w:p w14:paraId="7FB1CD96" w14:textId="77777777" w:rsidR="009343E9" w:rsidRDefault="00E01924">
      <w:pPr>
        <w:spacing w:after="160"/>
      </w:pPr>
      <w:proofErr w:type="gramStart"/>
      <w:r>
        <w:t>It likewise</w:t>
      </w:r>
      <w:proofErr w:type="gramEnd"/>
      <w:r>
        <w:t xml:space="preserve"> lacks a regulatory framework to identify which individuals within the Registry are at risk of reoffending and </w:t>
      </w:r>
      <w:proofErr w:type="gramStart"/>
      <w:r>
        <w:t>to subject</w:t>
      </w:r>
      <w:proofErr w:type="gramEnd"/>
      <w:r>
        <w:t xml:space="preserve"> them to psychological and psychiatric evaluation to assess their medical condition. Nor does it establish control parameters for cases in which a registered individual commits a new offense, or a mechanism by which the State actively and periodically monitors each person listed in the Registry.</w:t>
      </w:r>
    </w:p>
    <w:p w14:paraId="6328E6BB" w14:textId="77777777" w:rsidR="009343E9" w:rsidRDefault="00E01924">
      <w:pPr>
        <w:spacing w:after="160"/>
      </w:pPr>
      <w:r>
        <w:t xml:space="preserve">It is therefore necessary to recognize that the absence of an </w:t>
      </w:r>
      <w:proofErr w:type="gramStart"/>
      <w:r>
        <w:t>implementing</w:t>
      </w:r>
      <w:proofErr w:type="gramEnd"/>
      <w:r>
        <w:t xml:space="preserve"> regulation is a significant gap. Without a step-by-step regulatory framework governing the Registry's application, and without restrictions on public access to the personal data of those listed, the constitutional guarantees of registered individuals are being undermined — their identity is exposed, and anyone who claims even a minimal interest may access that information. A regulation could establish internal controls governing the proportionality of registration duration, provide for greater </w:t>
      </w:r>
      <w:r>
        <w:t>case follow-up, and strengthen the preventive oversight that is the Registry's stated purpose.</w:t>
      </w:r>
    </w:p>
    <w:p w14:paraId="33287BDC" w14:textId="77777777" w:rsidR="009343E9" w:rsidRDefault="00E01924">
      <w:pPr>
        <w:pStyle w:val="Heading2"/>
        <w:spacing w:before="280"/>
      </w:pPr>
      <w:proofErr w:type="gramStart"/>
      <w:r>
        <w:rPr>
          <w:sz w:val="24"/>
          <w:szCs w:val="24"/>
        </w:rPr>
        <w:t>3.7  Compatibility</w:t>
      </w:r>
      <w:proofErr w:type="gramEnd"/>
      <w:r>
        <w:rPr>
          <w:sz w:val="24"/>
          <w:szCs w:val="24"/>
        </w:rPr>
        <w:t xml:space="preserve"> of the Special Registry with the Criminal Record Registry, and Whether the Special Registry Is Necessary</w:t>
      </w:r>
    </w:p>
    <w:p w14:paraId="33247E4A" w14:textId="77777777" w:rsidR="009343E9" w:rsidRDefault="00E01924">
      <w:pPr>
        <w:spacing w:after="160"/>
      </w:pPr>
      <w:r>
        <w:t>The Special Registry and the Criminal Record Registry differ in purpose and content, yet the two complement each other. The Criminal Record Registry contains all information relating to any person who has any type of criminal history, regardless of the offense — including sexual offenses — and identifies that person as someone who has harmed the legally protected interest of sexual freedom. The Special Registry, by contrast, contains only individuals who have committed offenses specifically related to sexua</w:t>
      </w:r>
      <w:r>
        <w:t>l freedom, and a notation will appear in the Criminal Record Registry indicating that the person is also listed in the Special Registry.</w:t>
      </w:r>
    </w:p>
    <w:p w14:paraId="1A0DAEC8" w14:textId="77777777" w:rsidR="009343E9" w:rsidRDefault="00E01924">
      <w:pPr>
        <w:spacing w:after="160"/>
      </w:pPr>
      <w:r>
        <w:lastRenderedPageBreak/>
        <w:t>Article 174-A provides in its final paragraph that "when a certificate of criminal record clearance is requested, it must indicate whether the person is listed in said registry." This means the information in the Special Registry serves as a complement to criminal record information. Since the same entity — the General Directorate of Penal Centers — is responsible for administering, controlling, and enforcing both registries, there is compatibility between them.</w:t>
      </w:r>
    </w:p>
    <w:p w14:paraId="19F6F697" w14:textId="77777777" w:rsidR="009343E9" w:rsidRDefault="00E01924">
      <w:pPr>
        <w:spacing w:after="160"/>
      </w:pPr>
      <w:r>
        <w:t>Having established that both registries are complementary and compatible, the question becomes whether the inclusion of the Special Registry in the criminal legal framework is truly a useful tool. The argument can be made that preventive control over sexual reoffending can be accomplished directly through the Criminal Record Registry, which already documents that a person has committed a crime. Better application and oversight of the Criminal Record Registry would itself constitute an effective preventive m</w:t>
      </w:r>
      <w:r>
        <w:t>easure for those who have been victimized by sexual offenses. A notation in the criminal clearance certificate indicating the nature of the offense committed would serve the same function, and the Criminal Record Registry already incorporates all individualized information about persons who have engaged in criminal conduct.</w:t>
      </w:r>
    </w:p>
    <w:p w14:paraId="325EC0B8" w14:textId="77777777" w:rsidR="009343E9" w:rsidRDefault="00E01924">
      <w:pPr>
        <w:spacing w:after="160"/>
      </w:pPr>
      <w:r>
        <w:t>On this basis, it is the conclusion of this analysis that the Special Registry is not necessary within the criminal legal framework, given that the country already has a registry that tracks all offenses committed by an individual and controls access to employment opportunities and monitors recidivism risk.</w:t>
      </w:r>
    </w:p>
    <w:p w14:paraId="78141FB8" w14:textId="77777777" w:rsidR="009343E9" w:rsidRDefault="00E01924">
      <w:pPr>
        <w:spacing w:after="160"/>
      </w:pPr>
      <w:r>
        <w:t>A registry that is not being used properly — one that the State, through the very institutions Article 174-A empowers to access and use it for preventive and criminal policy purposes, has allowed to remain entirely unused — meets no meaningful standard and operates under no effective enforcement system. Rather than serving its stated purpose, what exists is a discriminatory registry that, rather than facilitating the reintegration of the individual into society, will drive that person further into social ma</w:t>
      </w:r>
      <w:r>
        <w:t>rginalization, while simultaneously exposing their personal data to public access. In this sense, the Special Registry is unnecessary, and could further be characterized as an example of what is known in criminal law as "Symbolic Criminal Law" — a term used to describe legal norms created by the State with the declared aim of protecting a particular legal interest, but which lack efficacy in practice, fail to achieve meaningful results in reducing crime when traced through criminal policy, and ultimately se</w:t>
      </w:r>
      <w:r>
        <w:t>rve only to harden penalties and instrumentalize punishment without substantive effect.</w:t>
      </w:r>
    </w:p>
    <w:p w14:paraId="3711BD9F" w14:textId="77777777" w:rsidR="009343E9" w:rsidRDefault="009343E9">
      <w:pPr>
        <w:pageBreakBefore/>
      </w:pPr>
    </w:p>
    <w:p w14:paraId="3EA44644" w14:textId="77777777" w:rsidR="009343E9" w:rsidRDefault="00E01924">
      <w:pPr>
        <w:pStyle w:val="Heading2"/>
        <w:spacing w:before="280"/>
      </w:pPr>
      <w:proofErr w:type="gramStart"/>
      <w:r>
        <w:rPr>
          <w:sz w:val="24"/>
          <w:szCs w:val="24"/>
        </w:rPr>
        <w:t>4.2  International</w:t>
      </w:r>
      <w:proofErr w:type="gramEnd"/>
      <w:r>
        <w:rPr>
          <w:sz w:val="24"/>
          <w:szCs w:val="24"/>
        </w:rPr>
        <w:t xml:space="preserve"> Legislation</w:t>
      </w:r>
    </w:p>
    <w:p w14:paraId="3F287FD0" w14:textId="77777777" w:rsidR="009343E9" w:rsidRDefault="00E01924">
      <w:pPr>
        <w:pStyle w:val="ListParagraph"/>
        <w:numPr>
          <w:ilvl w:val="0"/>
          <w:numId w:val="2"/>
        </w:numPr>
        <w:spacing w:after="120"/>
      </w:pPr>
      <w:r>
        <w:t>Royal Decree 1110/2015, dated December 11, 2015, establishing the regulation of the Central Registry of Sex Offenders. (Spain).</w:t>
      </w:r>
    </w:p>
    <w:p w14:paraId="0FBC11A0" w14:textId="77777777" w:rsidR="009343E9" w:rsidRDefault="00E01924">
      <w:pPr>
        <w:pStyle w:val="ListParagraph"/>
        <w:numPr>
          <w:ilvl w:val="0"/>
          <w:numId w:val="2"/>
        </w:numPr>
        <w:spacing w:after="120"/>
      </w:pPr>
      <w:r>
        <w:t xml:space="preserve">Decree No. 22-2017, dated November 28, 2017, enacting the Law on the Genetic Data Bank for Forensic Use (Guatemala), which, beginning with Article 6, mandates the creation of a National Sex Offender </w:t>
      </w:r>
      <w:proofErr w:type="gramStart"/>
      <w:r>
        <w:t>Registry;</w:t>
      </w:r>
      <w:proofErr w:type="gramEnd"/>
      <w:r>
        <w:t xml:space="preserve"> and the Implementing Regulations of the National Sex Offender Registry of the Office of the Attorney General.</w:t>
      </w:r>
    </w:p>
    <w:p w14:paraId="3CFCF068" w14:textId="77777777" w:rsidR="009343E9" w:rsidRDefault="009343E9">
      <w:pPr>
        <w:spacing w:after="80"/>
      </w:pPr>
    </w:p>
    <w:p w14:paraId="4E9F91FC" w14:textId="77777777" w:rsidR="009343E9" w:rsidRDefault="00E01924">
      <w:pPr>
        <w:spacing w:after="160"/>
      </w:pPr>
      <w:r>
        <w:rPr>
          <w:b/>
          <w:bCs/>
        </w:rPr>
        <w:t>Opinion No. 5-19-OP/19, of the Full Court of the Constitutional Court of Ecuador, dated December 4, 2019. </w:t>
      </w:r>
      <w:r>
        <w:t>This opinion addressed the unconstitutionality of Ecuador's proposed Sex Offender Registry, focusing specifically on the protection of girls and boys. The President of Ecuador requested that certain criteria applied to the creation of the Registry be declared unconstitutional, on the grounds that the Registry would be discriminatory with respect to individuals' judicial history, would stigmatize those listed in it, and would undermine social reintegration — one of the recognized purposes of criminal punishm</w:t>
      </w:r>
      <w:r>
        <w:t>ent. On this basis, the President of Ecuador requested that certain provisions of the proposed legislation be declared unconstitutional.</w:t>
      </w:r>
    </w:p>
    <w:sectPr w:rsidR="009343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CD6"/>
    <w:multiLevelType w:val="hybridMultilevel"/>
    <w:tmpl w:val="3E107630"/>
    <w:lvl w:ilvl="0" w:tplc="7876A5B0">
      <w:start w:val="1"/>
      <w:numFmt w:val="lowerLetter"/>
      <w:lvlText w:val="%1)"/>
      <w:lvlJc w:val="left"/>
      <w:pPr>
        <w:ind w:left="720" w:hanging="360"/>
      </w:pPr>
    </w:lvl>
    <w:lvl w:ilvl="1" w:tplc="DFF8F116">
      <w:numFmt w:val="decimal"/>
      <w:lvlText w:val=""/>
      <w:lvlJc w:val="left"/>
    </w:lvl>
    <w:lvl w:ilvl="2" w:tplc="8EEA3062">
      <w:numFmt w:val="decimal"/>
      <w:lvlText w:val=""/>
      <w:lvlJc w:val="left"/>
    </w:lvl>
    <w:lvl w:ilvl="3" w:tplc="8DBC0C0A">
      <w:numFmt w:val="decimal"/>
      <w:lvlText w:val=""/>
      <w:lvlJc w:val="left"/>
    </w:lvl>
    <w:lvl w:ilvl="4" w:tplc="2DC67AD2">
      <w:numFmt w:val="decimal"/>
      <w:lvlText w:val=""/>
      <w:lvlJc w:val="left"/>
    </w:lvl>
    <w:lvl w:ilvl="5" w:tplc="700E66AE">
      <w:numFmt w:val="decimal"/>
      <w:lvlText w:val=""/>
      <w:lvlJc w:val="left"/>
    </w:lvl>
    <w:lvl w:ilvl="6" w:tplc="B7DE3D28">
      <w:numFmt w:val="decimal"/>
      <w:lvlText w:val=""/>
      <w:lvlJc w:val="left"/>
    </w:lvl>
    <w:lvl w:ilvl="7" w:tplc="9B6ABDF8">
      <w:numFmt w:val="decimal"/>
      <w:lvlText w:val=""/>
      <w:lvlJc w:val="left"/>
    </w:lvl>
    <w:lvl w:ilvl="8" w:tplc="85CA1220">
      <w:numFmt w:val="decimal"/>
      <w:lvlText w:val=""/>
      <w:lvlJc w:val="left"/>
    </w:lvl>
  </w:abstractNum>
  <w:abstractNum w:abstractNumId="1" w15:restartNumberingAfterBreak="0">
    <w:nsid w:val="33C82A3A"/>
    <w:multiLevelType w:val="hybridMultilevel"/>
    <w:tmpl w:val="673AB5A2"/>
    <w:lvl w:ilvl="0" w:tplc="BC524874">
      <w:start w:val="1"/>
      <w:numFmt w:val="bullet"/>
      <w:lvlText w:val="●"/>
      <w:lvlJc w:val="left"/>
      <w:pPr>
        <w:ind w:left="720" w:hanging="360"/>
      </w:pPr>
    </w:lvl>
    <w:lvl w:ilvl="1" w:tplc="0A001FC6">
      <w:start w:val="1"/>
      <w:numFmt w:val="bullet"/>
      <w:lvlText w:val="○"/>
      <w:lvlJc w:val="left"/>
      <w:pPr>
        <w:ind w:left="1440" w:hanging="360"/>
      </w:pPr>
    </w:lvl>
    <w:lvl w:ilvl="2" w:tplc="5EDA5666">
      <w:start w:val="1"/>
      <w:numFmt w:val="bullet"/>
      <w:lvlText w:val="■"/>
      <w:lvlJc w:val="left"/>
      <w:pPr>
        <w:ind w:left="2160" w:hanging="360"/>
      </w:pPr>
    </w:lvl>
    <w:lvl w:ilvl="3" w:tplc="D95056F0">
      <w:start w:val="1"/>
      <w:numFmt w:val="bullet"/>
      <w:lvlText w:val="●"/>
      <w:lvlJc w:val="left"/>
      <w:pPr>
        <w:ind w:left="2880" w:hanging="360"/>
      </w:pPr>
    </w:lvl>
    <w:lvl w:ilvl="4" w:tplc="A330D002">
      <w:start w:val="1"/>
      <w:numFmt w:val="bullet"/>
      <w:lvlText w:val="○"/>
      <w:lvlJc w:val="left"/>
      <w:pPr>
        <w:ind w:left="3600" w:hanging="360"/>
      </w:pPr>
    </w:lvl>
    <w:lvl w:ilvl="5" w:tplc="5FD00B4E">
      <w:start w:val="1"/>
      <w:numFmt w:val="bullet"/>
      <w:lvlText w:val="■"/>
      <w:lvlJc w:val="left"/>
      <w:pPr>
        <w:ind w:left="4320" w:hanging="360"/>
      </w:pPr>
    </w:lvl>
    <w:lvl w:ilvl="6" w:tplc="0E8A1084">
      <w:start w:val="1"/>
      <w:numFmt w:val="bullet"/>
      <w:lvlText w:val="●"/>
      <w:lvlJc w:val="left"/>
      <w:pPr>
        <w:ind w:left="5040" w:hanging="360"/>
      </w:pPr>
    </w:lvl>
    <w:lvl w:ilvl="7" w:tplc="D99480F8">
      <w:start w:val="1"/>
      <w:numFmt w:val="bullet"/>
      <w:lvlText w:val="●"/>
      <w:lvlJc w:val="left"/>
      <w:pPr>
        <w:ind w:left="5760" w:hanging="360"/>
      </w:pPr>
    </w:lvl>
    <w:lvl w:ilvl="8" w:tplc="4B6CE6AE">
      <w:start w:val="1"/>
      <w:numFmt w:val="bullet"/>
      <w:lvlText w:val="●"/>
      <w:lvlJc w:val="left"/>
      <w:pPr>
        <w:ind w:left="6480" w:hanging="360"/>
      </w:pPr>
    </w:lvl>
  </w:abstractNum>
  <w:abstractNum w:abstractNumId="2" w15:restartNumberingAfterBreak="0">
    <w:nsid w:val="7BB81329"/>
    <w:multiLevelType w:val="hybridMultilevel"/>
    <w:tmpl w:val="8F5661CC"/>
    <w:lvl w:ilvl="0" w:tplc="540EFBA4">
      <w:start w:val="1"/>
      <w:numFmt w:val="upperRoman"/>
      <w:lvlText w:val="%1."/>
      <w:lvlJc w:val="left"/>
      <w:pPr>
        <w:ind w:left="720" w:hanging="360"/>
      </w:pPr>
    </w:lvl>
    <w:lvl w:ilvl="1" w:tplc="7BB66B62">
      <w:numFmt w:val="decimal"/>
      <w:lvlText w:val=""/>
      <w:lvlJc w:val="left"/>
    </w:lvl>
    <w:lvl w:ilvl="2" w:tplc="269CA2FA">
      <w:numFmt w:val="decimal"/>
      <w:lvlText w:val=""/>
      <w:lvlJc w:val="left"/>
    </w:lvl>
    <w:lvl w:ilvl="3" w:tplc="B9F43C32">
      <w:numFmt w:val="decimal"/>
      <w:lvlText w:val=""/>
      <w:lvlJc w:val="left"/>
    </w:lvl>
    <w:lvl w:ilvl="4" w:tplc="9A147982">
      <w:numFmt w:val="decimal"/>
      <w:lvlText w:val=""/>
      <w:lvlJc w:val="left"/>
    </w:lvl>
    <w:lvl w:ilvl="5" w:tplc="0280525A">
      <w:numFmt w:val="decimal"/>
      <w:lvlText w:val=""/>
      <w:lvlJc w:val="left"/>
    </w:lvl>
    <w:lvl w:ilvl="6" w:tplc="CBE213B4">
      <w:numFmt w:val="decimal"/>
      <w:lvlText w:val=""/>
      <w:lvlJc w:val="left"/>
    </w:lvl>
    <w:lvl w:ilvl="7" w:tplc="4314CDF6">
      <w:numFmt w:val="decimal"/>
      <w:lvlText w:val=""/>
      <w:lvlJc w:val="left"/>
    </w:lvl>
    <w:lvl w:ilvl="8" w:tplc="13420A98">
      <w:numFmt w:val="decimal"/>
      <w:lvlText w:val=""/>
      <w:lvlJc w:val="left"/>
    </w:lvl>
  </w:abstractNum>
  <w:num w:numId="1" w16cid:durableId="1704863783">
    <w:abstractNumId w:val="1"/>
    <w:lvlOverride w:ilvl="0">
      <w:startOverride w:val="1"/>
    </w:lvlOverride>
  </w:num>
  <w:num w:numId="2" w16cid:durableId="611743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E9"/>
    <w:rsid w:val="00155D18"/>
    <w:rsid w:val="009343E9"/>
    <w:rsid w:val="009A3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7B58"/>
  <w15:docId w15:val="{901C3237-2DB7-4415-A536-CE41911B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2435</Words>
  <Characters>13882</Characters>
  <Application>Microsoft Office Word</Application>
  <DocSecurity>0</DocSecurity>
  <Lines>115</Lines>
  <Paragraphs>32</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 McPherson</cp:lastModifiedBy>
  <cp:revision>2</cp:revision>
  <dcterms:created xsi:type="dcterms:W3CDTF">2026-03-19T18:06:00Z</dcterms:created>
  <dcterms:modified xsi:type="dcterms:W3CDTF">2026-03-19T18:06:00Z</dcterms:modified>
</cp:coreProperties>
</file>