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sz w:val="28"/>
          <w:szCs w:val="28"/>
        </w:rPr>
        <w:t xml:space="preserve">LEGISLATIVE BRANCH</w:t>
      </w:r>
    </w:p>
    <w:p>
      <w:pPr>
        <w:spacing w:before="0" w:after="80"/>
        <w:jc w:val="center"/>
      </w:pPr>
      <w:r>
        <w:rPr>
          <w:rFonts w:ascii="Arial" w:cs="Arial" w:eastAsia="Arial" w:hAnsi="Arial"/>
          <w:b/>
          <w:bCs/>
          <w:sz w:val="26"/>
          <w:szCs w:val="26"/>
        </w:rPr>
        <w:t xml:space="preserve">CONGRESS OF THE REPUBLIC</w:t>
      </w:r>
    </w:p>
    <w:p>
      <w:pPr>
        <w:spacing w:before="0" w:after="80"/>
        <w:jc w:val="center"/>
      </w:pPr>
      <w:r>
        <w:rPr>
          <w:rFonts w:ascii="Arial" w:cs="Arial" w:eastAsia="Arial" w:hAnsi="Arial"/>
          <w:b/>
          <w:bCs/>
          <w:sz w:val="26"/>
          <w:szCs w:val="26"/>
        </w:rPr>
        <w:t xml:space="preserve">LAW No. 30901</w:t>
      </w:r>
    </w:p>
    <w:p>
      <w:pPr>
        <w:spacing w:before="0" w:after="80"/>
        <w:jc w:val="center"/>
      </w:pPr>
      <w:r>
        <w:rPr>
          <w:rFonts w:ascii="Arial" w:cs="Arial" w:eastAsia="Arial" w:hAnsi="Arial"/>
          <w:sz w:val="22"/>
          <w:szCs w:val="22"/>
        </w:rPr>
        <w:t xml:space="preserve">THE PRESIDENT OF THE REPUBLIC</w:t>
      </w:r>
    </w:p>
    <w:p>
      <w:pPr>
        <w:spacing w:before="0" w:after="80"/>
        <w:jc w:val="center"/>
      </w:pPr>
      <w:r>
        <w:rPr>
          <w:rFonts w:ascii="Arial" w:cs="Arial" w:eastAsia="Arial" w:hAnsi="Arial"/>
          <w:sz w:val="22"/>
          <w:szCs w:val="22"/>
        </w:rPr>
        <w:t xml:space="preserve">WHEREAS:</w:t>
      </w:r>
    </w:p>
    <w:p>
      <w:pPr>
        <w:spacing w:before="0" w:after="200"/>
        <w:jc w:val="center"/>
      </w:pPr>
      <w:r>
        <w:rPr>
          <w:rFonts w:ascii="Arial" w:cs="Arial" w:eastAsia="Arial" w:hAnsi="Arial"/>
          <w:sz w:val="22"/>
          <w:szCs w:val="22"/>
        </w:rPr>
        <w:t xml:space="preserve">THE CONGRESS OF THE REPUBLIC has enacted the following Law:</w:t>
      </w:r>
    </w:p>
    <w:p>
      <w:pPr>
        <w:spacing w:before="0" w:after="200"/>
        <w:jc w:val="center"/>
      </w:pPr>
      <w:r>
        <w:rPr>
          <w:rFonts w:ascii="Arial" w:cs="Arial" w:eastAsia="Arial" w:hAnsi="Arial"/>
          <w:b/>
          <w:bCs/>
          <w:color w:val="1F3864"/>
          <w:sz w:val="26"/>
          <w:szCs w:val="26"/>
        </w:rPr>
        <w:t xml:space="preserve">LAW IMPLEMENTING A SUB-REGISTRY OF CONVICTIONS AND ESTABLISHING A PERMANENT BAR FROM PERFORMING ACTIVITIES, PROFESSIONS, OCCUPATIONS, OR TRADES INVOLVING THE CARE, SUPERVISION, OR ATTENDANCE OF GIRLS, BOYS, OR ADOLESCENTS</w:t>
      </w:r>
    </w:p>
    <w:p>
      <w:pPr>
        <w:spacing w:before="240" w:after="80"/>
      </w:pPr>
      <w:r>
        <w:rPr>
          <w:rFonts w:ascii="Arial" w:cs="Arial" w:eastAsia="Arial" w:hAnsi="Arial"/>
          <w:b/>
          <w:bCs/>
          <w:sz w:val="24"/>
          <w:szCs w:val="24"/>
          <w:u w:val="single"/>
        </w:rPr>
        <w:t xml:space="preserve">Article 1.. Purpose of the Law</w:t>
      </w:r>
    </w:p>
    <w:p>
      <w:pPr>
        <w:spacing w:before="0" w:after="160"/>
      </w:pPr>
      <w:r>
        <w:rPr>
          <w:rFonts w:ascii="Arial" w:cs="Arial" w:eastAsia="Arial" w:hAnsi="Arial"/>
          <w:sz w:val="24"/>
          <w:szCs w:val="24"/>
        </w:rPr>
        <w:t xml:space="preserve">The purpose of this Law is to provide information to the public to prevent all forms of violence against women, girls, boys, or adolescents through the following mechanisms:</w:t>
      </w:r>
    </w:p>
    <w:p>
      <w:pPr>
        <w:spacing w:before="40" w:after="60"/>
        <w:ind w:left="720"/>
      </w:pPr>
      <w:r>
        <w:rPr>
          <w:rFonts w:ascii="Arial" w:cs="Arial" w:eastAsia="Arial" w:hAnsi="Arial"/>
          <w:sz w:val="24"/>
          <w:szCs w:val="24"/>
        </w:rPr>
        <w:t xml:space="preserve">a)  Implementing within the National Registry of Convictions a sub-registry of persons convicted of the offenses set forth in Article 2.</w:t>
      </w:r>
    </w:p>
    <w:p>
      <w:pPr>
        <w:spacing w:before="40" w:after="60"/>
        <w:ind w:left="720"/>
      </w:pPr>
      <w:r>
        <w:rPr>
          <w:rFonts w:ascii="Arial" w:cs="Arial" w:eastAsia="Arial" w:hAnsi="Arial"/>
          <w:sz w:val="24"/>
          <w:szCs w:val="24"/>
        </w:rPr>
        <w:t xml:space="preserve">b)  Regulating the permanent bar from working with girls, boys, and adolescents or providing services related to them, for persons with prior convictions for the offenses set forth in Article 2.</w:t>
      </w:r>
    </w:p>
    <w:p>
      <w:pPr>
        <w:spacing w:before="240" w:after="80"/>
      </w:pPr>
      <w:r>
        <w:rPr>
          <w:rFonts w:ascii="Arial" w:cs="Arial" w:eastAsia="Arial" w:hAnsi="Arial"/>
          <w:b/>
          <w:bCs/>
          <w:sz w:val="24"/>
          <w:szCs w:val="24"/>
          <w:u w:val="single"/>
        </w:rPr>
        <w:t xml:space="preserve">Article 2.. Offenses Covered by the Scope of the Law</w:t>
      </w:r>
    </w:p>
    <w:p>
      <w:pPr>
        <w:spacing w:before="0" w:after="160"/>
      </w:pPr>
      <w:r>
        <w:rPr>
          <w:rFonts w:ascii="Arial" w:cs="Arial" w:eastAsia="Arial" w:hAnsi="Arial"/>
          <w:sz w:val="24"/>
          <w:szCs w:val="24"/>
        </w:rPr>
        <w:t xml:space="preserve">For purposes of the application of this Law, the following persons are covered: those convicted of the following offenses from Book Two of the Penal Code:</w:t>
      </w:r>
    </w:p>
    <w:p>
      <w:pPr>
        <w:spacing w:before="40" w:after="60"/>
        <w:ind w:left="720"/>
      </w:pPr>
      <w:r>
        <w:rPr>
          <w:rFonts w:ascii="Arial" w:cs="Arial" w:eastAsia="Arial" w:hAnsi="Arial"/>
          <w:sz w:val="24"/>
          <w:szCs w:val="24"/>
        </w:rPr>
        <w:t xml:space="preserve">a)  Title I, Chapter I: Simple homicide (Article 106), Parricide (Article 107), Aggravated homicide (Article 108), and Femicide (Article 108-B).</w:t>
      </w:r>
    </w:p>
    <w:p>
      <w:pPr>
        <w:spacing w:before="40" w:after="60"/>
        <w:ind w:left="720"/>
      </w:pPr>
      <w:r>
        <w:rPr>
          <w:rFonts w:ascii="Arial" w:cs="Arial" w:eastAsia="Arial" w:hAnsi="Arial"/>
          <w:sz w:val="24"/>
          <w:szCs w:val="24"/>
        </w:rPr>
        <w:t xml:space="preserve">b)  Title I, Chapter III: Serious bodily injury (Article 121) and Serious bodily injury through violence against women and members of the family unit (Article 121-B).</w:t>
      </w:r>
    </w:p>
    <w:p>
      <w:pPr>
        <w:spacing w:before="40" w:after="60"/>
        <w:ind w:left="720"/>
      </w:pPr>
      <w:r>
        <w:rPr>
          <w:rFonts w:ascii="Arial" w:cs="Arial" w:eastAsia="Arial" w:hAnsi="Arial"/>
          <w:sz w:val="24"/>
          <w:szCs w:val="24"/>
        </w:rPr>
        <w:t xml:space="preserve">c)  Title IV, Chapter I: Human trafficking (Article 153), Aggravated forms of human trafficking (Article 153-A), Sexual exploitation (Article 153-B), and Slavery and other forms of exploitation (Article 153-C); Chapter IX: Rape (Article 170), Rape of a person in a state of unconsciousness or incapacity to resist (Article 171), Rape of a person incapable of giving free consent (Article 172), Rape of a minor (Article 173), Rape of a person under authority or supervision (Article 174), Rape by deceit (Article 175), Groping, acts of a sexual nature, or lewd acts without consent (Article 176), Groping, acts of a sexual nature, or lewd acts against minors (Article 176-A); Chapter X (Procuring/Pimping); and Chapter XI (Offenses against public decency).</w:t>
      </w:r>
    </w:p>
    <w:p>
      <w:pPr>
        <w:spacing w:before="240" w:after="80"/>
      </w:pPr>
      <w:r>
        <w:rPr>
          <w:rFonts w:ascii="Arial" w:cs="Arial" w:eastAsia="Arial" w:hAnsi="Arial"/>
          <w:b/>
          <w:bCs/>
          <w:sz w:val="24"/>
          <w:szCs w:val="24"/>
          <w:u w:val="single"/>
        </w:rPr>
        <w:t xml:space="preserve">Article 3.. Implementation of a Sub-Registry of Convictions within the National Registry of Convictions and Its Scope</w:t>
      </w:r>
    </w:p>
    <w:p>
      <w:pPr>
        <w:spacing w:before="0" w:after="160"/>
      </w:pPr>
      <w:r>
        <w:rPr>
          <w:rFonts w:ascii="Arial" w:cs="Arial" w:eastAsia="Arial" w:hAnsi="Arial"/>
          <w:sz w:val="24"/>
          <w:szCs w:val="24"/>
        </w:rPr>
        <w:t xml:space="preserve">A sub-registry of convicted persons is hereby implemented within the National Registry of Convictions of the Judicial Branch for the offenses listed in Article 2.</w:t>
      </w:r>
    </w:p>
    <w:p>
      <w:pPr>
        <w:spacing w:before="0" w:after="160"/>
      </w:pPr>
      <w:r>
        <w:rPr>
          <w:rFonts w:ascii="Arial" w:cs="Arial" w:eastAsia="Arial" w:hAnsi="Arial"/>
          <w:sz w:val="24"/>
          <w:szCs w:val="24"/>
        </w:rPr>
        <w:t xml:space="preserve">The implementation and updating of the sub-registry is the responsibility of the Judicial Branch.</w:t>
      </w:r>
    </w:p>
    <w:p>
      <w:pPr>
        <w:spacing w:before="0" w:after="160"/>
      </w:pPr>
      <w:r>
        <w:rPr>
          <w:rFonts w:ascii="Arial" w:cs="Arial" w:eastAsia="Arial" w:hAnsi="Arial"/>
          <w:sz w:val="24"/>
          <w:szCs w:val="24"/>
        </w:rPr>
        <w:t xml:space="preserve">This sub-registry maintains the personal data of persons convicted of the offenses listed in Article 2 and includes information on rehabilitation orders or other orders modifying the conviction.</w:t>
      </w:r>
    </w:p>
    <w:p>
      <w:pPr>
        <w:spacing w:before="0" w:after="160"/>
      </w:pPr>
      <w:r>
        <w:rPr>
          <w:rFonts w:ascii="Arial" w:cs="Arial" w:eastAsia="Arial" w:hAnsi="Arial"/>
          <w:sz w:val="24"/>
          <w:szCs w:val="24"/>
        </w:rPr>
        <w:t xml:space="preserve">Access to the information contained in the sub-registry of convicted persons is public and free of charge. To this end, the Judicial Branch shall incorporate into its website a link allowing any person to access its contents, upon prior registration of their national identity document number and justification for access.</w:t>
      </w:r>
    </w:p>
    <w:p>
      <w:pPr>
        <w:spacing w:before="240" w:after="80"/>
      </w:pPr>
      <w:r>
        <w:rPr>
          <w:rFonts w:ascii="Arial" w:cs="Arial" w:eastAsia="Arial" w:hAnsi="Arial"/>
          <w:b/>
          <w:bCs/>
          <w:sz w:val="24"/>
          <w:szCs w:val="24"/>
          <w:u w:val="single"/>
        </w:rPr>
        <w:t xml:space="preserve">Article 4.. Obligation of Jurisdictional Bodies</w:t>
      </w:r>
    </w:p>
    <w:p>
      <w:pPr>
        <w:spacing w:before="0" w:after="160"/>
      </w:pPr>
      <w:r>
        <w:rPr>
          <w:rFonts w:ascii="Arial" w:cs="Arial" w:eastAsia="Arial" w:hAnsi="Arial"/>
          <w:sz w:val="24"/>
          <w:szCs w:val="24"/>
        </w:rPr>
        <w:t xml:space="preserve">Once a sentence for the offenses listed in Article 2 becomes final or is enforceable, the jurisdictional body that imposed the conviction shall, within three business days, transmit to the National Judicial Registry the information for registration of the sentence, under functional responsibility.</w:t>
      </w:r>
    </w:p>
    <w:p>
      <w:pPr>
        <w:spacing w:before="240" w:after="80"/>
      </w:pPr>
      <w:r>
        <w:rPr>
          <w:rFonts w:ascii="Arial" w:cs="Arial" w:eastAsia="Arial" w:hAnsi="Arial"/>
          <w:b/>
          <w:bCs/>
          <w:sz w:val="24"/>
          <w:szCs w:val="24"/>
          <w:u w:val="single"/>
        </w:rPr>
        <w:t xml:space="preserve">Article 5.. Contents of the Sub-Registry of Convicted Persons</w:t>
      </w:r>
    </w:p>
    <w:p>
      <w:pPr>
        <w:spacing w:before="0" w:after="160"/>
      </w:pPr>
      <w:r>
        <w:rPr>
          <w:rFonts w:ascii="Arial" w:cs="Arial" w:eastAsia="Arial" w:hAnsi="Arial"/>
          <w:sz w:val="24"/>
          <w:szCs w:val="24"/>
        </w:rPr>
        <w:t xml:space="preserve">The sub-registry of persons convicted of offenses covered by this law includes the following information:</w:t>
      </w:r>
    </w:p>
    <w:p>
      <w:pPr>
        <w:spacing w:before="40" w:after="60"/>
        <w:ind w:left="720"/>
      </w:pPr>
      <w:r>
        <w:rPr>
          <w:rFonts w:ascii="Arial" w:cs="Arial" w:eastAsia="Arial" w:hAnsi="Arial"/>
          <w:sz w:val="24"/>
          <w:szCs w:val="24"/>
        </w:rPr>
        <w:t xml:space="preserve">a.  Full name and surname of the convicted person;</w:t>
      </w:r>
    </w:p>
    <w:p>
      <w:pPr>
        <w:spacing w:before="40" w:after="60"/>
        <w:ind w:left="720"/>
      </w:pPr>
      <w:r>
        <w:rPr>
          <w:rFonts w:ascii="Arial" w:cs="Arial" w:eastAsia="Arial" w:hAnsi="Arial"/>
          <w:sz w:val="24"/>
          <w:szCs w:val="24"/>
        </w:rPr>
        <w:t xml:space="preserve">b.  National identity document number or other identifying document;</w:t>
      </w:r>
    </w:p>
    <w:p>
      <w:pPr>
        <w:spacing w:before="40" w:after="60"/>
        <w:ind w:left="720"/>
      </w:pPr>
      <w:r>
        <w:rPr>
          <w:rFonts w:ascii="Arial" w:cs="Arial" w:eastAsia="Arial" w:hAnsi="Arial"/>
          <w:sz w:val="24"/>
          <w:szCs w:val="24"/>
        </w:rPr>
        <w:t xml:space="preserve">c.  Nationality;</w:t>
      </w:r>
    </w:p>
    <w:p>
      <w:pPr>
        <w:spacing w:before="40" w:after="60"/>
        <w:ind w:left="720"/>
      </w:pPr>
      <w:r>
        <w:rPr>
          <w:rFonts w:ascii="Arial" w:cs="Arial" w:eastAsia="Arial" w:hAnsi="Arial"/>
          <w:sz w:val="24"/>
          <w:szCs w:val="24"/>
        </w:rPr>
        <w:t xml:space="preserve">d.  Case file number; and</w:t>
      </w:r>
    </w:p>
    <w:p>
      <w:pPr>
        <w:spacing w:before="40" w:after="60"/>
        <w:ind w:left="720"/>
      </w:pPr>
      <w:r>
        <w:rPr>
          <w:rFonts w:ascii="Arial" w:cs="Arial" w:eastAsia="Arial" w:hAnsi="Arial"/>
          <w:sz w:val="24"/>
          <w:szCs w:val="24"/>
        </w:rPr>
        <w:t xml:space="preserve">e.  Specification of the offense or offenses committed.</w:t>
      </w:r>
    </w:p>
    <w:p>
      <w:pPr>
        <w:spacing w:before="0" w:after="160"/>
      </w:pPr>
      <w:r>
        <w:rPr>
          <w:rFonts w:ascii="Arial" w:cs="Arial" w:eastAsia="Arial" w:hAnsi="Arial"/>
          <w:sz w:val="24"/>
          <w:szCs w:val="24"/>
        </w:rPr>
        <w:t xml:space="preserve">Additionally, historical information shall be included indicating whether rehabilitation orders or other orders modifying the conviction were issued.</w:t>
      </w:r>
    </w:p>
    <w:p>
      <w:pPr>
        <w:spacing w:before="0" w:after="160"/>
      </w:pPr>
      <w:r>
        <w:rPr>
          <w:rFonts w:ascii="Arial" w:cs="Arial" w:eastAsia="Arial" w:hAnsi="Arial"/>
          <w:sz w:val="24"/>
          <w:szCs w:val="24"/>
        </w:rPr>
        <w:t xml:space="preserve">Any person may access and view the information described in this article.</w:t>
      </w:r>
    </w:p>
    <w:p>
      <w:pPr>
        <w:spacing w:before="240" w:after="80"/>
      </w:pPr>
      <w:r>
        <w:rPr>
          <w:rFonts w:ascii="Arial" w:cs="Arial" w:eastAsia="Arial" w:hAnsi="Arial"/>
          <w:b/>
          <w:bCs/>
          <w:sz w:val="24"/>
          <w:szCs w:val="24"/>
          <w:u w:val="single"/>
        </w:rPr>
        <w:t xml:space="preserve">Article 6.. Permanent Bar from Working with Girls, Boys, and Adolescents</w:t>
      </w:r>
    </w:p>
    <w:p>
      <w:pPr>
        <w:spacing w:before="0" w:after="160"/>
      </w:pPr>
      <w:r>
        <w:rPr>
          <w:rFonts w:ascii="Arial" w:cs="Arial" w:eastAsia="Arial" w:hAnsi="Arial"/>
          <w:sz w:val="24"/>
          <w:szCs w:val="24"/>
        </w:rPr>
        <w:t xml:space="preserve">Persons who have been convicted of the offenses set forth in Article 2 of this Law are barred from working with girls, boys, and adolescents, or providing services related to them, in both the public and private sectors. The prohibition extends to any employment or contractual modality, even if the person has been rehabilitated.</w:t>
      </w:r>
    </w:p>
    <w:p>
      <w:pPr>
        <w:spacing w:before="0" w:after="160"/>
      </w:pPr>
      <w:r>
        <w:rPr>
          <w:rFonts w:ascii="Arial" w:cs="Arial" w:eastAsia="Arial" w:hAnsi="Arial"/>
          <w:sz w:val="24"/>
          <w:szCs w:val="24"/>
        </w:rPr>
        <w:t xml:space="preserve">This expressly includes the bar from working or providing any type of services in public or private educational centers and establishments at all levels where there are minor-age students, as well as students in higher technical and university education.</w:t>
      </w:r>
    </w:p>
    <w:p>
      <w:pPr>
        <w:spacing w:before="240" w:after="80"/>
      </w:pPr>
      <w:r>
        <w:rPr>
          <w:rFonts w:ascii="Arial" w:cs="Arial" w:eastAsia="Arial" w:hAnsi="Arial"/>
          <w:b/>
          <w:bCs/>
          <w:sz w:val="24"/>
          <w:szCs w:val="24"/>
          <w:u w:val="single"/>
        </w:rPr>
        <w:t xml:space="preserve">Article 7.. Obligation of Public and Private Entities to Request from their Personnel Records from the Sub-Registry of Convicted Persons</w:t>
      </w:r>
    </w:p>
    <w:p>
      <w:pPr>
        <w:spacing w:before="0" w:after="160"/>
      </w:pPr>
      <w:r>
        <w:rPr>
          <w:rFonts w:ascii="Arial" w:cs="Arial" w:eastAsia="Arial" w:hAnsi="Arial"/>
          <w:sz w:val="24"/>
          <w:szCs w:val="24"/>
        </w:rPr>
        <w:t xml:space="preserve">In all hiring processes in the public and private sectors, under any employment or contractual modality, applicants are required to submit a simple printout of the information from the sub-registry of persons convicted of the offenses in Article 2. Before the hiring process is finalized, entities shall, under their responsibility, carry out the corresponding verification to enforce the bar set forth in the preceding article.</w:t>
      </w:r>
    </w:p>
    <w:p>
      <w:pPr>
        <w:spacing w:before="0" w:after="160"/>
      </w:pPr>
      <w:r>
        <w:rPr>
          <w:rFonts w:ascii="Arial" w:cs="Arial" w:eastAsia="Arial" w:hAnsi="Arial"/>
          <w:sz w:val="24"/>
          <w:szCs w:val="24"/>
        </w:rPr>
        <w:t xml:space="preserve">In both the public and private sectors, entities are obligated to annually request from all contracted personnel, under any employment or contractual modality, a simple printout of the information from the sub-registry. Entities shall, under their responsibility, carry out the corresponding verification to enforce the bar set forth in the preceding article.</w:t>
      </w:r>
    </w:p>
    <w:p>
      <w:pPr>
        <w:spacing w:before="0" w:after="160"/>
      </w:pPr>
      <w:r>
        <w:rPr>
          <w:rFonts w:ascii="Arial" w:cs="Arial" w:eastAsia="Arial" w:hAnsi="Arial"/>
          <w:sz w:val="24"/>
          <w:szCs w:val="24"/>
        </w:rPr>
        <w:t xml:space="preserve">Submission of the printout constitutes a sworn declaration, and any false information provided is subject to legal liability.</w:t>
      </w:r>
    </w:p>
    <w:p>
      <w:pPr>
        <w:spacing w:before="0" w:after="160"/>
      </w:pPr>
      <w:r>
        <w:rPr>
          <w:rFonts w:ascii="Arial" w:cs="Arial" w:eastAsia="Arial" w:hAnsi="Arial"/>
          <w:sz w:val="24"/>
          <w:szCs w:val="24"/>
        </w:rPr>
        <w:t xml:space="preserve">Non-compliance with this provision shall be overseen by the National Superintendency of Labor Inspection (SUNAFIL), regional governments, and the National Civil Service Authority (SERVIR), within their respective areas of competence.</w:t>
      </w:r>
    </w:p>
    <w:p>
      <w:pPr>
        <w:pBdr>
          <w:bottom w:val="single" w:color="AAAAAA" w:sz="4"/>
        </w:pBdr>
        <w:spacing w:before="200" w:after="200"/>
      </w:pPr>
    </w:p>
    <w:p>
      <w:pPr>
        <w:spacing w:before="0" w:after="120"/>
        <w:jc w:val="center"/>
      </w:pPr>
      <w:r>
        <w:rPr>
          <w:rFonts w:ascii="Arial" w:cs="Arial" w:eastAsia="Arial" w:hAnsi="Arial"/>
          <w:b/>
          <w:bCs/>
          <w:color w:val="1F3864"/>
          <w:sz w:val="24"/>
          <w:szCs w:val="24"/>
        </w:rPr>
        <w:t xml:space="preserve">COMPLEMENTARY AMENDING PROVISIONS</w:t>
      </w:r>
    </w:p>
    <w:p>
      <w:pPr>
        <w:spacing w:before="240" w:after="80"/>
      </w:pPr>
      <w:r>
        <w:rPr>
          <w:rFonts w:ascii="Arial" w:cs="Arial" w:eastAsia="Arial" w:hAnsi="Arial"/>
          <w:b/>
          <w:bCs/>
          <w:sz w:val="24"/>
          <w:szCs w:val="24"/>
        </w:rPr>
        <w:t xml:space="preserve">First. Amendment to Legislative Decree 1350</w:t>
      </w:r>
    </w:p>
    <w:p>
      <w:pPr>
        <w:spacing w:before="0" w:after="160"/>
      </w:pPr>
      <w:r>
        <w:rPr>
          <w:rFonts w:ascii="Arial" w:cs="Arial" w:eastAsia="Arial" w:hAnsi="Arial"/>
          <w:sz w:val="24"/>
          <w:szCs w:val="24"/>
        </w:rPr>
        <w:t xml:space="preserve">Articles 48.1.b and 48.1.d of Legislative Decree 1350, the Legislative Decree on Migration, are hereby amended as follows:</w:t>
      </w:r>
    </w:p>
    <w:p>
      <w:pPr>
        <w:spacing w:before="0" w:after="160"/>
      </w:pPr>
      <w:r>
        <w:rPr>
          <w:rFonts w:ascii="Arial" w:cs="Arial" w:eastAsia="Arial" w:hAnsi="Arial"/>
          <w:b/>
          <w:bCs/>
          <w:sz w:val="24"/>
          <w:szCs w:val="24"/>
        </w:rPr>
        <w:t xml:space="preserve">“Article 48. Entry bars and protective measures</w:t>
      </w:r>
    </w:p>
    <w:p>
      <w:pPr>
        <w:spacing w:before="0" w:after="160"/>
      </w:pPr>
      <w:r>
        <w:rPr>
          <w:rFonts w:ascii="Arial" w:cs="Arial" w:eastAsia="Arial" w:hAnsi="Arial"/>
          <w:sz w:val="24"/>
          <w:szCs w:val="24"/>
        </w:rPr>
        <w:t xml:space="preserve">48.1 MIGRACIONES shall bar entry into the national territory to foreign nationals in the following situations:</w:t>
      </w:r>
    </w:p>
    <w:p>
      <w:pPr>
        <w:spacing w:before="40" w:after="60"/>
        <w:ind w:left="720"/>
      </w:pPr>
      <w:r>
        <w:rPr>
          <w:rFonts w:ascii="Arial" w:cs="Arial" w:eastAsia="Arial" w:hAnsi="Arial"/>
          <w:sz w:val="24"/>
          <w:szCs w:val="24"/>
        </w:rPr>
        <w:t xml:space="preserve">[…]</w:t>
      </w:r>
    </w:p>
    <w:p>
      <w:pPr>
        <w:spacing w:before="40" w:after="60"/>
        <w:ind w:left="720"/>
      </w:pPr>
      <w:r>
        <w:rPr>
          <w:rFonts w:ascii="Arial" w:cs="Arial" w:eastAsia="Arial" w:hAnsi="Arial"/>
          <w:sz w:val="24"/>
          <w:szCs w:val="24"/>
        </w:rPr>
        <w:t xml:space="preserve">b.  Those who pose a situation of danger or threat to national security, public order, internal order, the protection of the rights and freedoms of other persons — particularly women, girls, boys, or adolescents — the prevention of criminal offenses, or the international relations of the Peruvian State or other States, on the basis of international obligations subscribed on the subject matter. Special attention shall be given to preventing the entry of persons with prior convictions for offenses related to these matters.</w:t>
      </w:r>
    </w:p>
    <w:p>
      <w:pPr>
        <w:spacing w:before="40" w:after="60"/>
        <w:ind w:left="720"/>
      </w:pPr>
      <w:r>
        <w:rPr>
          <w:rFonts w:ascii="Arial" w:cs="Arial" w:eastAsia="Arial" w:hAnsi="Arial"/>
          <w:sz w:val="24"/>
          <w:szCs w:val="24"/>
        </w:rPr>
        <w:t xml:space="preserve">[…]</w:t>
      </w:r>
    </w:p>
    <w:p>
      <w:pPr>
        <w:spacing w:before="40" w:after="60"/>
        <w:ind w:left="720"/>
      </w:pPr>
      <w:r>
        <w:rPr>
          <w:rFonts w:ascii="Arial" w:cs="Arial" w:eastAsia="Arial" w:hAnsi="Arial"/>
          <w:sz w:val="24"/>
          <w:szCs w:val="24"/>
        </w:rPr>
        <w:t xml:space="preserve">d.  Persons who are fugitives from justice in other States for offenses classified as common offenses — particularly against women, girls, boys, or adolescents — and for serious offenses such as drug trafficking, human trafficking, illegal logging, money laundering, terrorism and its operation, corruption, organized crime, or related offenses under Peruvian law.</w:t>
      </w:r>
    </w:p>
    <w:p>
      <w:pPr>
        <w:spacing w:before="40" w:after="60"/>
        <w:ind w:left="720"/>
      </w:pPr>
      <w:r>
        <w:rPr>
          <w:rFonts w:ascii="Arial" w:cs="Arial" w:eastAsia="Arial" w:hAnsi="Arial"/>
          <w:sz w:val="24"/>
          <w:szCs w:val="24"/>
        </w:rPr>
        <w:t xml:space="preserve">[…]”</w:t>
      </w:r>
    </w:p>
    <w:p>
      <w:pPr>
        <w:spacing w:before="240" w:after="80"/>
      </w:pPr>
      <w:r>
        <w:rPr>
          <w:rFonts w:ascii="Arial" w:cs="Arial" w:eastAsia="Arial" w:hAnsi="Arial"/>
          <w:b/>
          <w:bCs/>
          <w:sz w:val="24"/>
          <w:szCs w:val="24"/>
        </w:rPr>
        <w:t xml:space="preserve">Second. Amendment to Article 36 of the Penal Code</w:t>
      </w:r>
    </w:p>
    <w:p>
      <w:pPr>
        <w:spacing w:before="0" w:after="160"/>
      </w:pPr>
      <w:r>
        <w:rPr>
          <w:rFonts w:ascii="Arial" w:cs="Arial" w:eastAsia="Arial" w:hAnsi="Arial"/>
          <w:sz w:val="24"/>
          <w:szCs w:val="24"/>
        </w:rPr>
        <w:t xml:space="preserve">Paragraph 9 of Article 36 of the Penal Code, approved by Legislative Decree 635, is hereby amended as follows:</w:t>
      </w:r>
    </w:p>
    <w:p>
      <w:pPr>
        <w:spacing w:before="0" w:after="160"/>
      </w:pPr>
      <w:r>
        <w:rPr>
          <w:rFonts w:ascii="Arial" w:cs="Arial" w:eastAsia="Arial" w:hAnsi="Arial"/>
          <w:b/>
          <w:bCs/>
          <w:sz w:val="24"/>
          <w:szCs w:val="24"/>
        </w:rPr>
        <w:t xml:space="preserve">“Article 36. Disqualification</w:t>
      </w:r>
    </w:p>
    <w:p>
      <w:pPr>
        <w:spacing w:before="0" w:after="160"/>
      </w:pPr>
      <w:r>
        <w:rPr>
          <w:rFonts w:ascii="Arial" w:cs="Arial" w:eastAsia="Arial" w:hAnsi="Arial"/>
          <w:sz w:val="24"/>
          <w:szCs w:val="24"/>
        </w:rPr>
        <w:t xml:space="preserve">Disqualification produces, as ordered by the sentence:</w:t>
      </w:r>
    </w:p>
    <w:p>
      <w:pPr>
        <w:spacing w:before="40" w:after="60"/>
        <w:ind w:left="720"/>
      </w:pPr>
      <w:r>
        <w:rPr>
          <w:rFonts w:ascii="Arial" w:cs="Arial" w:eastAsia="Arial" w:hAnsi="Arial"/>
          <w:sz w:val="24"/>
          <w:szCs w:val="24"/>
        </w:rPr>
        <w:t xml:space="preserve">[…]</w:t>
      </w:r>
    </w:p>
    <w:p>
      <w:pPr>
        <w:spacing w:before="40" w:after="60"/>
        <w:ind w:left="720"/>
      </w:pPr>
      <w:r>
        <w:rPr>
          <w:rFonts w:ascii="Arial" w:cs="Arial" w:eastAsia="Arial" w:hAnsi="Arial"/>
          <w:sz w:val="24"/>
          <w:szCs w:val="24"/>
        </w:rPr>
        <w:t xml:space="preserve">9.  Permanent incapacity to enter or re-enter the teaching or administrative service in basic or higher education institutions, public or private, in the Ministry of Education or its decentralized public bodies, or, in general, in any body dedicated to education, training, instruction, resocialization, or rehabilitation; or to exercise any activity, profession, occupation, or trade involving teaching, care, supervision, or attendance of girls, boys, or adolescents, or of students in higher technical and university education — for persons convicted by a final or enforceable sentence for any of the following:</w:t>
      </w:r>
    </w:p>
    <w:p>
      <w:pPr>
        <w:spacing w:before="40" w:after="60"/>
        <w:ind w:left="1080"/>
      </w:pPr>
      <w:r>
        <w:rPr>
          <w:rFonts w:ascii="Arial" w:cs="Arial" w:eastAsia="Arial" w:hAnsi="Arial"/>
          <w:sz w:val="24"/>
          <w:szCs w:val="24"/>
        </w:rPr>
        <w:t xml:space="preserve">a.  Terrorism, as set forth in Legislative Decree 25475.</w:t>
      </w:r>
    </w:p>
    <w:p>
      <w:pPr>
        <w:spacing w:before="40" w:after="60"/>
        <w:ind w:left="1080"/>
      </w:pPr>
      <w:r>
        <w:rPr>
          <w:rFonts w:ascii="Arial" w:cs="Arial" w:eastAsia="Arial" w:hAnsi="Arial"/>
          <w:sz w:val="24"/>
          <w:szCs w:val="24"/>
        </w:rPr>
        <w:t xml:space="preserve">b.  Apologia for the crime of terrorism, established in Article 316-A.</w:t>
      </w:r>
    </w:p>
    <w:p>
      <w:pPr>
        <w:spacing w:before="40" w:after="60"/>
        <w:ind w:left="1080"/>
      </w:pPr>
      <w:r>
        <w:rPr>
          <w:rFonts w:ascii="Arial" w:cs="Arial" w:eastAsia="Arial" w:hAnsi="Arial"/>
          <w:sz w:val="24"/>
          <w:szCs w:val="24"/>
        </w:rPr>
        <w:t xml:space="preserve">c.  Human trafficking, aggravated forms of human trafficking, sexual exploitation, and slavery and other forms of exploitation, as set forth in Articles 153, 153-A, 153-B, and 153-C.</w:t>
      </w:r>
    </w:p>
    <w:p>
      <w:pPr>
        <w:spacing w:before="40" w:after="60"/>
        <w:ind w:left="1080"/>
      </w:pPr>
      <w:r>
        <w:rPr>
          <w:rFonts w:ascii="Arial" w:cs="Arial" w:eastAsia="Arial" w:hAnsi="Arial"/>
          <w:sz w:val="24"/>
          <w:szCs w:val="24"/>
        </w:rPr>
        <w:t xml:space="preserve">d.  Simple homicide (Article 106), Parricide (Article 107), Aggravated homicide (Article 108), and Femicide (Article 108-B).</w:t>
      </w:r>
    </w:p>
    <w:p>
      <w:pPr>
        <w:spacing w:before="40" w:after="60"/>
        <w:ind w:left="1080"/>
      </w:pPr>
      <w:r>
        <w:rPr>
          <w:rFonts w:ascii="Arial" w:cs="Arial" w:eastAsia="Arial" w:hAnsi="Arial"/>
          <w:sz w:val="24"/>
          <w:szCs w:val="24"/>
        </w:rPr>
        <w:t xml:space="preserve">e.  Serious bodily injury (Article 121) and Serious bodily injury through violence against women and members of the family unit (Article 121-B).</w:t>
      </w:r>
    </w:p>
    <w:p>
      <w:pPr>
        <w:spacing w:before="40" w:after="60"/>
        <w:ind w:left="1080"/>
      </w:pPr>
      <w:r>
        <w:rPr>
          <w:rFonts w:ascii="Arial" w:cs="Arial" w:eastAsia="Arial" w:hAnsi="Arial"/>
          <w:sz w:val="24"/>
          <w:szCs w:val="24"/>
        </w:rPr>
        <w:t xml:space="preserve">f.  Book Two, Title IV, Chapter IX: Rape (Article 170), Rape of a person in a state of unconsciousness or incapacity to resist (Article 171), Rape of a person incapable of giving free consent (Article 172), Rape of a minor (Article 173), Rape of a person under authority or supervision (Article 174), Rape by deceit (Article 175), Groping, acts of a sexual nature, or lewd acts without consent (Article 176), Groping, acts of a sexual nature, or lewd acts against minors (Article 176-A), Chapter X (Procuring/Pimping), and Chapter XI (Offenses against public decency).</w:t>
      </w:r>
    </w:p>
    <w:p>
      <w:pPr>
        <w:spacing w:before="40" w:after="60"/>
        <w:ind w:left="1080"/>
      </w:pPr>
      <w:r>
        <w:rPr>
          <w:rFonts w:ascii="Arial" w:cs="Arial" w:eastAsia="Arial" w:hAnsi="Arial"/>
          <w:sz w:val="24"/>
          <w:szCs w:val="24"/>
        </w:rPr>
        <w:t xml:space="preserve">g.  Illicit drug trafficking, set forth in Section II — imposed mandatorily in the sentence as the principal penalty.</w:t>
      </w:r>
    </w:p>
    <w:p>
      <w:pPr>
        <w:spacing w:before="40" w:after="60"/>
        <w:ind w:left="720"/>
      </w:pPr>
      <w:r>
        <w:rPr>
          <w:rFonts w:ascii="Arial" w:cs="Arial" w:eastAsia="Arial" w:hAnsi="Arial"/>
          <w:sz w:val="24"/>
          <w:szCs w:val="24"/>
        </w:rPr>
        <w:t xml:space="preserve">[…]”</w:t>
      </w:r>
    </w:p>
    <w:p>
      <w:pPr>
        <w:pBdr>
          <w:bottom w:val="single" w:color="AAAAAA" w:sz="4"/>
        </w:pBdr>
        <w:spacing w:before="200" w:after="200"/>
      </w:pPr>
    </w:p>
    <w:p>
      <w:pPr>
        <w:spacing w:before="0" w:after="120"/>
        <w:jc w:val="center"/>
      </w:pPr>
      <w:r>
        <w:rPr>
          <w:rFonts w:ascii="Arial" w:cs="Arial" w:eastAsia="Arial" w:hAnsi="Arial"/>
          <w:b/>
          <w:bCs/>
          <w:color w:val="1F3864"/>
          <w:sz w:val="24"/>
          <w:szCs w:val="24"/>
        </w:rPr>
        <w:t xml:space="preserve">COMPLEMENTARY TRANSITIONAL PROVISION</w:t>
      </w:r>
    </w:p>
    <w:p>
      <w:pPr>
        <w:spacing w:before="240" w:after="80"/>
      </w:pPr>
      <w:r>
        <w:rPr>
          <w:rFonts w:ascii="Arial" w:cs="Arial" w:eastAsia="Arial" w:hAnsi="Arial"/>
          <w:b/>
          <w:bCs/>
          <w:sz w:val="24"/>
          <w:szCs w:val="24"/>
        </w:rPr>
        <w:t xml:space="preserve">SOLE PROVISION. Deadline for Implementation of the Sub-Registry</w:t>
      </w:r>
    </w:p>
    <w:p>
      <w:pPr>
        <w:spacing w:before="0" w:after="160"/>
      </w:pPr>
      <w:r>
        <w:rPr>
          <w:rFonts w:ascii="Arial" w:cs="Arial" w:eastAsia="Arial" w:hAnsi="Arial"/>
          <w:sz w:val="24"/>
          <w:szCs w:val="24"/>
        </w:rPr>
        <w:t xml:space="preserve">The Judicial Branch has one hundred and eighty (180) business days to implement access to the information provided for in this Law.</w:t>
      </w:r>
    </w:p>
    <w:p>
      <w:pPr>
        <w:spacing w:before="0" w:after="160"/>
      </w:pPr>
      <w:r>
        <w:rPr>
          <w:rFonts w:ascii="Arial" w:cs="Arial" w:eastAsia="Arial" w:hAnsi="Arial"/>
          <w:sz w:val="24"/>
          <w:szCs w:val="24"/>
        </w:rPr>
        <w:t xml:space="preserve">While access to the specialized sub-registry of convicted persons is being implemented, public and private entities shall verify compliance with the bar set forth in Article 6 using information from the criminal background certificate, under their responsibility.</w:t>
      </w:r>
    </w:p>
    <w:p>
      <w:pPr>
        <w:pBdr>
          <w:bottom w:val="single" w:color="AAAAAA" w:sz="4"/>
        </w:pBdr>
        <w:spacing w:before="200" w:after="200"/>
      </w:pPr>
    </w:p>
    <w:p>
      <w:pPr>
        <w:spacing w:before="0" w:after="160"/>
      </w:pPr>
      <w:r>
        <w:rPr>
          <w:rFonts w:ascii="Arial" w:cs="Arial" w:eastAsia="Arial" w:hAnsi="Arial"/>
          <w:sz w:val="24"/>
          <w:szCs w:val="24"/>
        </w:rPr>
        <w:t xml:space="preserve">Communicated to the President of the Republic for promulgation.</w:t>
      </w:r>
    </w:p>
    <w:p>
      <w:pPr>
        <w:spacing w:before="0" w:after="160"/>
      </w:pPr>
      <w:r>
        <w:rPr>
          <w:rFonts w:ascii="Arial" w:cs="Arial" w:eastAsia="Arial" w:hAnsi="Arial"/>
          <w:i/>
          <w:iCs/>
          <w:sz w:val="24"/>
          <w:szCs w:val="24"/>
        </w:rPr>
        <w:t xml:space="preserve">In Lima, on the eighth day of the month of December of two thousand and eighteen.</w:t>
      </w:r>
    </w:p>
    <w:p>
      <w:pPr>
        <w:spacing w:before="160" w:after="40"/>
      </w:pPr>
      <w:r>
        <w:rPr>
          <w:rFonts w:ascii="Arial" w:cs="Arial" w:eastAsia="Arial" w:hAnsi="Arial"/>
          <w:b/>
          <w:bCs/>
          <w:sz w:val="24"/>
          <w:szCs w:val="24"/>
        </w:rPr>
        <w:t xml:space="preserve">DANIEL SALAVERRY VILLA</w:t>
      </w:r>
    </w:p>
    <w:p>
      <w:pPr>
        <w:spacing w:before="0" w:after="160"/>
      </w:pPr>
      <w:r>
        <w:rPr>
          <w:rFonts w:ascii="Arial" w:cs="Arial" w:eastAsia="Arial" w:hAnsi="Arial"/>
          <w:sz w:val="24"/>
          <w:szCs w:val="24"/>
        </w:rPr>
        <w:t xml:space="preserve">President of the Congress of the Republic</w:t>
      </w:r>
    </w:p>
    <w:p>
      <w:pPr>
        <w:spacing w:before="80" w:after="40"/>
      </w:pPr>
      <w:r>
        <w:rPr>
          <w:rFonts w:ascii="Arial" w:cs="Arial" w:eastAsia="Arial" w:hAnsi="Arial"/>
          <w:b/>
          <w:bCs/>
          <w:sz w:val="24"/>
          <w:szCs w:val="24"/>
        </w:rPr>
        <w:t xml:space="preserve">LEYLA CHIHUÁN RAMOS</w:t>
      </w:r>
    </w:p>
    <w:p>
      <w:pPr>
        <w:spacing w:before="0" w:after="160"/>
      </w:pPr>
      <w:r>
        <w:rPr>
          <w:rFonts w:ascii="Arial" w:cs="Arial" w:eastAsia="Arial" w:hAnsi="Arial"/>
          <w:sz w:val="24"/>
          <w:szCs w:val="24"/>
        </w:rPr>
        <w:t xml:space="preserve">First Vice President of the Congress of the Republic</w:t>
      </w:r>
    </w:p>
    <w:p>
      <w:pPr>
        <w:spacing w:before="160" w:after="80"/>
      </w:pPr>
      <w:r>
        <w:rPr>
          <w:rFonts w:ascii="Arial" w:cs="Arial" w:eastAsia="Arial" w:hAnsi="Arial"/>
          <w:sz w:val="24"/>
          <w:szCs w:val="24"/>
        </w:rPr>
        <w:t xml:space="preserve">THEREFORE:</w:t>
      </w:r>
    </w:p>
    <w:p>
      <w:pPr>
        <w:spacing w:before="0" w:after="160"/>
      </w:pPr>
      <w:r>
        <w:rPr>
          <w:rFonts w:ascii="Arial" w:cs="Arial" w:eastAsia="Arial" w:hAnsi="Arial"/>
          <w:sz w:val="24"/>
          <w:szCs w:val="24"/>
        </w:rPr>
        <w:t xml:space="preserve">I order this to be published and complied with.</w:t>
      </w:r>
    </w:p>
    <w:p>
      <w:pPr>
        <w:spacing w:before="0" w:after="160"/>
      </w:pPr>
      <w:r>
        <w:rPr>
          <w:rFonts w:ascii="Arial" w:cs="Arial" w:eastAsia="Arial" w:hAnsi="Arial"/>
          <w:i/>
          <w:iCs/>
          <w:sz w:val="24"/>
          <w:szCs w:val="24"/>
        </w:rPr>
        <w:t xml:space="preserve">Given at the Government House, in Lima, on the twenty-eighth day of the month of December of the year two thousand and eighteen.</w:t>
      </w:r>
    </w:p>
    <w:p>
      <w:pPr>
        <w:spacing w:before="120" w:after="40"/>
      </w:pPr>
      <w:r>
        <w:rPr>
          <w:rFonts w:ascii="Arial" w:cs="Arial" w:eastAsia="Arial" w:hAnsi="Arial"/>
          <w:b/>
          <w:bCs/>
          <w:sz w:val="24"/>
          <w:szCs w:val="24"/>
        </w:rPr>
        <w:t xml:space="preserve">MARTÍN ALBERTO VIZCARRA CORNEJO</w:t>
      </w:r>
    </w:p>
    <w:p>
      <w:pPr>
        <w:spacing w:before="0" w:after="160"/>
      </w:pPr>
      <w:r>
        <w:rPr>
          <w:rFonts w:ascii="Arial" w:cs="Arial" w:eastAsia="Arial" w:hAnsi="Arial"/>
          <w:sz w:val="24"/>
          <w:szCs w:val="24"/>
        </w:rPr>
        <w:t xml:space="preserve">President of the Republic</w:t>
      </w:r>
    </w:p>
    <w:p>
      <w:pPr>
        <w:spacing w:before="80" w:after="40"/>
      </w:pPr>
      <w:r>
        <w:rPr>
          <w:rFonts w:ascii="Arial" w:cs="Arial" w:eastAsia="Arial" w:hAnsi="Arial"/>
          <w:b/>
          <w:bCs/>
          <w:sz w:val="24"/>
          <w:szCs w:val="24"/>
        </w:rPr>
        <w:t xml:space="preserve">CÉSAR VILLANUEVA ARÉVALO</w:t>
      </w:r>
    </w:p>
    <w:p>
      <w:pPr>
        <w:spacing w:before="0" w:after="160"/>
      </w:pPr>
      <w:r>
        <w:rPr>
          <w:rFonts w:ascii="Arial" w:cs="Arial" w:eastAsia="Arial" w:hAnsi="Arial"/>
          <w:sz w:val="24"/>
          <w:szCs w:val="24"/>
        </w:rPr>
        <w:t xml:space="preserve">President of the Council of Ministers</w:t>
      </w:r>
    </w:p>
    <w:p>
      <w:pPr>
        <w:pBdr>
          <w:bottom w:val="single" w:color="AAAAAA" w:sz="4"/>
        </w:pBdr>
        <w:spacing w:before="200" w:after="200"/>
      </w:pPr>
    </w:p>
    <w:p>
      <w:pPr>
        <w:spacing w:before="80" w:after="40"/>
      </w:pPr>
      <w:r>
        <w:rPr>
          <w:rFonts w:ascii="Arial" w:cs="Arial" w:eastAsia="Arial" w:hAnsi="Arial"/>
          <w:b/>
          <w:bCs/>
          <w:i/>
          <w:iCs/>
          <w:color w:val="777777"/>
          <w:sz w:val="20"/>
          <w:szCs w:val="20"/>
        </w:rPr>
        <w:t xml:space="preserve">Translator’s Note</w:t>
      </w:r>
    </w:p>
    <w:p>
      <w:pPr>
        <w:spacing w:before="0" w:after="0"/>
      </w:pPr>
      <w:r>
        <w:rPr>
          <w:rFonts w:ascii="Arial" w:cs="Arial" w:eastAsia="Arial" w:hAnsi="Arial"/>
          <w:i/>
          <w:iCs/>
          <w:color w:val="777777"/>
          <w:sz w:val="20"/>
          <w:szCs w:val="20"/>
        </w:rPr>
        <w:t xml:space="preserve">This is an English translation of Peru Law No. 30901, published in El Peruano (Official Gazette) on December 29, 2018. The original Spanish text is the authoritative legal version. Translation prepared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2026-03-20T15:32:38.326Z</dcterms:created>
  <dcterms:modified xsi:type="dcterms:W3CDTF">2026-03-20T15:32:38.327Z</dcterms:modified>
</cp:coreProperties>
</file>

<file path=docProps/custom.xml><?xml version="1.0" encoding="utf-8"?>
<Properties xmlns="http://schemas.openxmlformats.org/officeDocument/2006/custom-properties" xmlns:vt="http://schemas.openxmlformats.org/officeDocument/2006/docPropsVTypes"/>
</file>