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555555"/>
          <w:sz w:val="20"/>
          <w:szCs w:val="20"/>
        </w:rPr>
        <w:t xml:space="preserve">OFFICIAL GAZETTE OF MEXICO CITY</w:t>
      </w:r>
    </w:p>
    <w:p>
      <w:pPr>
        <w:spacing w:before="0" w:after="80"/>
        <w:jc w:val="center"/>
      </w:pPr>
      <w:r>
        <w:rPr>
          <w:rFonts w:ascii="Arial" w:cs="Arial" w:eastAsia="Arial" w:hAnsi="Arial"/>
          <w:color w:val="555555"/>
          <w:sz w:val="20"/>
          <w:szCs w:val="20"/>
        </w:rPr>
        <w:t xml:space="preserve">TWENTY-FIRST EPOCH     •     MARCH 20, 2020     •     No. 307 Bis</w:t>
      </w:r>
    </w:p>
    <w:p>
      <w:pPr>
        <w:spacing w:before="0" w:after="320"/>
        <w:jc w:val="center"/>
      </w:pPr>
      <w:r>
        <w:rPr>
          <w:rFonts w:ascii="Arial" w:cs="Arial" w:eastAsia="Arial" w:hAnsi="Arial"/>
          <w:i/>
          <w:iCs/>
          <w:color w:val="888888"/>
          <w:sz w:val="20"/>
          <w:szCs w:val="20"/>
        </w:rPr>
        <w:t xml:space="preserve">[Pages 3–13 — English Translation]</w:t>
      </w:r>
    </w:p>
    <w:p>
      <w:pPr>
        <w:spacing w:before="0" w:after="120"/>
        <w:jc w:val="center"/>
      </w:pPr>
      <w:r>
        <w:rPr>
          <w:rFonts w:ascii="Arial" w:cs="Arial" w:eastAsia="Arial" w:hAnsi="Arial"/>
          <w:b/>
          <w:bCs/>
          <w:sz w:val="26"/>
          <w:szCs w:val="26"/>
        </w:rPr>
        <w:t xml:space="preserve">PUBLIC ADMINISTRATION OF MEXICO CITY</w:t>
      </w:r>
    </w:p>
    <w:p>
      <w:pPr>
        <w:spacing w:before="0" w:after="120"/>
        <w:jc w:val="center"/>
      </w:pPr>
      <w:r>
        <w:rPr>
          <w:rFonts w:ascii="Arial" w:cs="Arial" w:eastAsia="Arial" w:hAnsi="Arial"/>
          <w:b/>
          <w:bCs/>
          <w:color w:val="1F3864"/>
          <w:sz w:val="24"/>
          <w:szCs w:val="24"/>
        </w:rPr>
        <w:t xml:space="preserve">DECREE AMENDING AND ADDING VARIOUS PROVISIONS OF THE PENAL CODE OF THE FEDERAL DISTRICT, THE LAW ON WOMEN’S ACCESS TO A LIFE FREE FROM VIOLENCE OF MEXICO CITY, AND THE LAW ON THE RIGHTS OF GIRLS, BOYS, AND ADOLESCENTS OF MEXICO CITY</w:t>
      </w:r>
    </w:p>
    <w:p>
      <w:pPr>
        <w:spacing w:before="0" w:after="160"/>
      </w:pPr>
      <w:r>
        <w:rPr>
          <w:rFonts w:ascii="Arial" w:cs="Arial" w:eastAsia="Arial" w:hAnsi="Arial"/>
          <w:sz w:val="24"/>
          <w:szCs w:val="24"/>
        </w:rPr>
        <w:t xml:space="preserve">DR. CLAUDIA SHEINBAUM PARDO, Head of Government of Mexico City, to its inhabitants, be it known:</w:t>
      </w:r>
    </w:p>
    <w:p>
      <w:pPr>
        <w:spacing w:before="0" w:after="160"/>
      </w:pPr>
      <w:r>
        <w:rPr>
          <w:rFonts w:ascii="Arial" w:cs="Arial" w:eastAsia="Arial" w:hAnsi="Arial"/>
          <w:sz w:val="24"/>
          <w:szCs w:val="24"/>
        </w:rPr>
        <w:t xml:space="preserve">That the Honorable Congress of Mexico City, First Legislature, has seen fit to direct the following:</w:t>
      </w:r>
    </w:p>
    <w:p>
      <w:pPr>
        <w:spacing w:before="120" w:after="120"/>
        <w:jc w:val="center"/>
      </w:pPr>
      <w:r>
        <w:rPr>
          <w:rFonts w:ascii="Arial" w:cs="Arial" w:eastAsia="Arial" w:hAnsi="Arial"/>
          <w:b/>
          <w:bCs/>
          <w:sz w:val="26"/>
          <w:szCs w:val="26"/>
        </w:rPr>
        <w:t xml:space="preserve">D E C R E E</w:t>
      </w:r>
    </w:p>
    <w:p>
      <w:pPr>
        <w:spacing w:before="0" w:after="80"/>
        <w:jc w:val="center"/>
      </w:pPr>
      <w:r>
        <w:rPr>
          <w:rFonts w:ascii="Arial" w:cs="Arial" w:eastAsia="Arial" w:hAnsi="Arial"/>
          <w:b/>
          <w:bCs/>
          <w:sz w:val="24"/>
          <w:szCs w:val="24"/>
        </w:rPr>
        <w:t xml:space="preserve">CONGRESS OF MEXICO CITY</w:t>
      </w:r>
    </w:p>
    <w:p>
      <w:pPr>
        <w:spacing w:before="0" w:after="200"/>
        <w:jc w:val="center"/>
      </w:pPr>
      <w:r>
        <w:rPr>
          <w:rFonts w:ascii="Arial" w:cs="Arial" w:eastAsia="Arial" w:hAnsi="Arial"/>
          <w:b/>
          <w:bCs/>
          <w:sz w:val="24"/>
          <w:szCs w:val="24"/>
        </w:rPr>
        <w:t xml:space="preserve">FIRST LEGISLATURE</w:t>
      </w:r>
    </w:p>
    <w:p>
      <w:pPr>
        <w:spacing w:before="0" w:after="160"/>
      </w:pPr>
      <w:r>
        <w:rPr>
          <w:rFonts w:ascii="Arial" w:cs="Arial" w:eastAsia="Arial" w:hAnsi="Arial"/>
          <w:b/>
          <w:bCs/>
          <w:sz w:val="24"/>
          <w:szCs w:val="24"/>
        </w:rPr>
        <w:t xml:space="preserve">THE CONGRESS OF MEXICO CITY DECREES:</w:t>
      </w:r>
    </w:p>
    <w:p>
      <w:pPr>
        <w:spacing w:before="0" w:after="160"/>
      </w:pPr>
      <w:r>
        <w:rPr>
          <w:rFonts w:ascii="Arial" w:cs="Arial" w:eastAsia="Arial" w:hAnsi="Arial"/>
          <w:b/>
          <w:bCs/>
          <w:sz w:val="24"/>
          <w:szCs w:val="24"/>
        </w:rPr>
        <w:t xml:space="preserve">AMENDMENT AND ADDITION OF VARIOUS PROVISIONS OF THE PENAL CODE OF THE FEDERAL DISTRICT, THE LAW ON WOMEN’S ACCESS TO A LIFE FREE FROM VIOLENCE OF MEXICO CITY, AND THE LAW ON THE RIGHTS OF GIRLS, BOYS, AND ADOLESCENTS OF MEXICO CITY.</w:t>
      </w:r>
    </w:p>
    <w:p>
      <w:pPr>
        <w:spacing w:before="280" w:after="100"/>
      </w:pPr>
      <w:r>
        <w:rPr>
          <w:rFonts w:ascii="Arial" w:cs="Arial" w:eastAsia="Arial" w:hAnsi="Arial"/>
          <w:b/>
          <w:bCs/>
          <w:sz w:val="24"/>
          <w:szCs w:val="24"/>
          <w:u w:val="single"/>
        </w:rPr>
        <w:t xml:space="preserve">FIRST.</w:t>
      </w:r>
    </w:p>
    <w:p>
      <w:pPr>
        <w:spacing w:before="0" w:after="160"/>
      </w:pPr>
      <w:r>
        <w:rPr>
          <w:rFonts w:ascii="Arial" w:cs="Arial" w:eastAsia="Arial" w:hAnsi="Arial"/>
          <w:sz w:val="24"/>
          <w:szCs w:val="24"/>
        </w:rPr>
        <w:t xml:space="preserve">The following articles of the Penal Code of the Federal District are hereby amended: Article 42, Section III; Article 60; Article 72, Section V; Article 75, second paragraph; Article 96; and Article 181 Ter, final paragraph.</w:t>
      </w:r>
    </w:p>
    <w:p>
      <w:pPr>
        <w:spacing w:before="0" w:after="160"/>
      </w:pPr>
      <w:r>
        <w:rPr>
          <w:rFonts w:ascii="Arial" w:cs="Arial" w:eastAsia="Arial" w:hAnsi="Arial"/>
          <w:sz w:val="24"/>
          <w:szCs w:val="24"/>
        </w:rPr>
        <w:t xml:space="preserve">The following are hereby added: a third paragraph to Article 29 Ter; Section VII to Article 31; a second paragraph to Section III of Article 42; a third paragraph to Article 66; Chapter XV under the title “Public Registry of Sexual Aggressors” comprising Articles 69 Ter and 69 Quater; a second paragraph to Article 71; a third paragraph to Article 86; and Article 178 BIS.</w:t>
      </w:r>
    </w:p>
    <w:p>
      <w:pPr>
        <w:pBdr>
          <w:bottom w:val="single" w:color="AAAAAA" w:sz="4"/>
        </w:pBdr>
        <w:spacing w:before="200" w:after="200"/>
      </w:pPr>
    </w:p>
    <w:p>
      <w:pPr>
        <w:spacing w:before="280" w:after="100"/>
        <w:jc w:val="center"/>
      </w:pPr>
      <w:r>
        <w:rPr>
          <w:rFonts w:ascii="Arial" w:cs="Arial" w:eastAsia="Arial" w:hAnsi="Arial"/>
          <w:b/>
          <w:bCs/>
          <w:color w:val="1F3864"/>
          <w:sz w:val="26"/>
          <w:szCs w:val="26"/>
        </w:rPr>
        <w:t xml:space="preserve">PENAL CODE OF THE FEDERAL DISTRICT</w:t>
      </w:r>
    </w:p>
    <w:p>
      <w:pPr>
        <w:spacing w:before="240" w:after="60"/>
      </w:pPr>
      <w:r>
        <w:rPr>
          <w:rFonts w:ascii="Arial" w:cs="Arial" w:eastAsia="Arial" w:hAnsi="Arial"/>
          <w:b/>
          <w:bCs/>
          <w:sz w:val="24"/>
          <w:szCs w:val="24"/>
        </w:rPr>
        <w:t xml:space="preserve">ARTICLE 29 TER (partial).</w:t>
      </w:r>
    </w:p>
    <w:p>
      <w:pPr>
        <w:spacing w:before="0" w:after="160"/>
      </w:pPr>
      <w:r>
        <w:rPr>
          <w:rFonts w:ascii="Arial" w:cs="Arial" w:eastAsia="Arial" w:hAnsi="Arial"/>
          <w:sz w:val="24"/>
          <w:szCs w:val="24"/>
        </w:rPr>
        <w:t xml:space="preserve">[… prior text unchanged …]</w:t>
      </w:r>
    </w:p>
    <w:p>
      <w:pPr>
        <w:spacing w:before="0" w:after="160"/>
      </w:pPr>
      <w:r>
        <w:rPr>
          <w:rFonts w:ascii="Arial" w:cs="Arial" w:eastAsia="Arial" w:hAnsi="Arial"/>
          <w:sz w:val="24"/>
          <w:szCs w:val="24"/>
        </w:rPr>
        <w:t xml:space="preserve">This shall be taken into account for the purposes of Articles 69 Ter and 69 Quater of this Code.</w:t>
      </w:r>
    </w:p>
    <w:p>
      <w:pPr>
        <w:spacing w:before="0" w:after="160"/>
      </w:pPr>
      <w:r>
        <w:rPr>
          <w:rFonts w:ascii="Arial" w:cs="Arial" w:eastAsia="Arial" w:hAnsi="Arial"/>
          <w:sz w:val="24"/>
          <w:szCs w:val="24"/>
        </w:rPr>
        <w:t xml:space="preserve">Should the defendant charged with an intentional felony classified by law as serious or subject to mandatory pretrial detention be a repeat offender for crimes of that nature, the applicable penalty for the new offense committed shall be increased by two-thirds and up to one additional time the maximum penalty prescribed for such offense, without exceeding the maximum set forth in Article 33 of this Code.</w:t>
      </w:r>
    </w:p>
    <w:p>
      <w:pPr>
        <w:spacing w:before="240" w:after="60"/>
      </w:pPr>
      <w:r>
        <w:rPr>
          <w:rFonts w:ascii="Arial" w:cs="Arial" w:eastAsia="Arial" w:hAnsi="Arial"/>
          <w:b/>
          <w:bCs/>
          <w:sz w:val="24"/>
          <w:szCs w:val="24"/>
        </w:rPr>
        <w:t xml:space="preserve">ARTICLE 31 — Catalog of Security Measures.</w:t>
      </w:r>
    </w:p>
    <w:p>
      <w:pPr>
        <w:spacing w:before="0" w:after="160"/>
      </w:pPr>
      <w:r>
        <w:rPr>
          <w:rFonts w:ascii="Arial" w:cs="Arial" w:eastAsia="Arial" w:hAnsi="Arial"/>
          <w:sz w:val="24"/>
          <w:szCs w:val="24"/>
        </w:rPr>
        <w:t xml:space="preserve">The security measures that may be imposed pursuant to this Code are:</w:t>
      </w:r>
    </w:p>
    <w:p>
      <w:pPr>
        <w:spacing w:before="40" w:after="40"/>
        <w:ind w:left="720"/>
      </w:pPr>
      <w:r>
        <w:rPr>
          <w:rFonts w:ascii="Arial" w:cs="Arial" w:eastAsia="Arial" w:hAnsi="Arial"/>
          <w:sz w:val="24"/>
          <w:szCs w:val="24"/>
        </w:rPr>
        <w:t xml:space="preserve">I through VI. [… unchanged …]</w:t>
      </w:r>
    </w:p>
    <w:p>
      <w:pPr>
        <w:spacing w:before="40" w:after="40"/>
        <w:ind w:left="720"/>
      </w:pPr>
      <w:r>
        <w:rPr>
          <w:rFonts w:ascii="Arial" w:cs="Arial" w:eastAsia="Arial" w:hAnsi="Arial"/>
          <w:sz w:val="24"/>
          <w:szCs w:val="24"/>
        </w:rPr>
        <w:t xml:space="preserve">VII. Order the registration of the sentenced person in the Public Registry of Sexual Aggressors, pursuant to the Law on Women’s Access to a Life Free from Violence of Mexico City and this Code, for purposes of protection and public safety.</w:t>
      </w:r>
    </w:p>
    <w:p>
      <w:pPr>
        <w:spacing w:before="0" w:after="160"/>
      </w:pPr>
      <w:r>
        <w:rPr>
          <w:rFonts w:ascii="Arial" w:cs="Arial" w:eastAsia="Arial" w:hAnsi="Arial"/>
          <w:sz w:val="24"/>
          <w:szCs w:val="24"/>
        </w:rPr>
        <w:t xml:space="preserve">The Public Prosecutor may apply the protective measures referred to in the applicable criminal procedure legislation for the Federal District.</w:t>
      </w:r>
    </w:p>
    <w:p>
      <w:pPr>
        <w:spacing w:before="240" w:after="60"/>
      </w:pPr>
      <w:r>
        <w:rPr>
          <w:rFonts w:ascii="Arial" w:cs="Arial" w:eastAsia="Arial" w:hAnsi="Arial"/>
          <w:b/>
          <w:bCs/>
          <w:sz w:val="24"/>
          <w:szCs w:val="24"/>
        </w:rPr>
        <w:t xml:space="preserve">ARTICLE 42 — Scope of Reparation for Harm.</w:t>
      </w:r>
    </w:p>
    <w:p>
      <w:pPr>
        <w:spacing w:before="0" w:after="160"/>
      </w:pPr>
      <w:r>
        <w:rPr>
          <w:rFonts w:ascii="Arial" w:cs="Arial" w:eastAsia="Arial" w:hAnsi="Arial"/>
          <w:sz w:val="24"/>
          <w:szCs w:val="24"/>
        </w:rPr>
        <w:t xml:space="preserve">Reparation for harm encompasses, according to the nature of the offense:</w:t>
      </w:r>
    </w:p>
    <w:p>
      <w:pPr>
        <w:spacing w:before="40" w:after="40"/>
        <w:ind w:left="720"/>
      </w:pPr>
      <w:r>
        <w:rPr>
          <w:rFonts w:ascii="Arial" w:cs="Arial" w:eastAsia="Arial" w:hAnsi="Arial"/>
          <w:sz w:val="24"/>
          <w:szCs w:val="24"/>
        </w:rPr>
        <w:t xml:space="preserve">I and II. [… unchanged …]</w:t>
      </w:r>
    </w:p>
    <w:p>
      <w:pPr>
        <w:spacing w:before="40" w:after="40"/>
        <w:ind w:left="720"/>
      </w:pPr>
      <w:r>
        <w:rPr>
          <w:rFonts w:ascii="Arial" w:cs="Arial" w:eastAsia="Arial" w:hAnsi="Arial"/>
          <w:sz w:val="24"/>
          <w:szCs w:val="24"/>
        </w:rPr>
        <w:t xml:space="preserve">III. Reparation for moral harm suffered by the victim or persons entitled to reparation, including payment for curative treatments that, as a consequence of the offense, are necessary for the recovery of the victim’s psychological and physical health, independently of services provided to victims by Mexico City authorities.</w:t>
      </w:r>
    </w:p>
    <w:p>
      <w:pPr>
        <w:spacing w:before="40" w:after="40"/>
        <w:ind w:left="720"/>
      </w:pPr>
      <w:r>
        <w:rPr>
          <w:rFonts w:ascii="Arial" w:cs="Arial" w:eastAsia="Arial" w:hAnsi="Arial"/>
          <w:sz w:val="24"/>
          <w:szCs w:val="24"/>
        </w:rPr>
        <w:t xml:space="preserve">Such reparation does not prevent registration in the Public Registry of Sexual Aggressors when applicable under this Code.</w:t>
      </w:r>
    </w:p>
    <w:p>
      <w:pPr>
        <w:spacing w:before="40" w:after="40"/>
        <w:ind w:left="720"/>
      </w:pPr>
      <w:r>
        <w:rPr>
          <w:rFonts w:ascii="Arial" w:cs="Arial" w:eastAsia="Arial" w:hAnsi="Arial"/>
          <w:sz w:val="24"/>
          <w:szCs w:val="24"/>
        </w:rPr>
        <w:t xml:space="preserve">IV and V. [… unchanged …]</w:t>
      </w:r>
    </w:p>
    <w:p>
      <w:pPr>
        <w:spacing w:before="240" w:after="60"/>
      </w:pPr>
      <w:r>
        <w:rPr>
          <w:rFonts w:ascii="Arial" w:cs="Arial" w:eastAsia="Arial" w:hAnsi="Arial"/>
          <w:b/>
          <w:bCs/>
          <w:sz w:val="24"/>
          <w:szCs w:val="24"/>
        </w:rPr>
        <w:t xml:space="preserve">ARTICLE 60 — Concept, Cases of Application, and Duration.</w:t>
      </w:r>
    </w:p>
    <w:p>
      <w:pPr>
        <w:spacing w:before="0" w:after="160"/>
      </w:pPr>
      <w:r>
        <w:rPr>
          <w:rFonts w:ascii="Arial" w:cs="Arial" w:eastAsia="Arial" w:hAnsi="Arial"/>
          <w:sz w:val="24"/>
          <w:szCs w:val="24"/>
        </w:rPr>
        <w:t xml:space="preserve">[… prior text unchanged …]</w:t>
      </w:r>
    </w:p>
    <w:p>
      <w:pPr>
        <w:spacing w:before="0" w:after="160"/>
      </w:pPr>
      <w:r>
        <w:rPr>
          <w:rFonts w:ascii="Arial" w:cs="Arial" w:eastAsia="Arial" w:hAnsi="Arial"/>
          <w:sz w:val="24"/>
          <w:szCs w:val="24"/>
        </w:rPr>
        <w:t xml:space="preserve">The judge shall order this supervision when the sentence imposes a penalty restricting liberty or rights, substitutes deprivation of liberty with another penalty, orders registration in the Public Registry of Sexual Aggressors, or grants a conditional suspension of sentence execution, and in all other cases provided by law. Its duration shall not exceed that of the corresponding penalty or security measure imposed.</w:t>
      </w:r>
    </w:p>
    <w:p>
      <w:pPr>
        <w:spacing w:before="240" w:after="60"/>
      </w:pPr>
      <w:r>
        <w:rPr>
          <w:rFonts w:ascii="Arial" w:cs="Arial" w:eastAsia="Arial" w:hAnsi="Arial"/>
          <w:b/>
          <w:bCs/>
          <w:sz w:val="24"/>
          <w:szCs w:val="24"/>
        </w:rPr>
        <w:t xml:space="preserve">ARTICLE 66 — Duration of Treatment.</w:t>
      </w:r>
    </w:p>
    <w:p>
      <w:pPr>
        <w:spacing w:before="0" w:after="160"/>
      </w:pPr>
      <w:r>
        <w:rPr>
          <w:rFonts w:ascii="Arial" w:cs="Arial" w:eastAsia="Arial" w:hAnsi="Arial"/>
          <w:sz w:val="24"/>
          <w:szCs w:val="24"/>
        </w:rPr>
        <w:t xml:space="preserve">[… prior paragraphs unchanged …]</w:t>
      </w:r>
    </w:p>
    <w:p>
      <w:pPr>
        <w:spacing w:before="0" w:after="160"/>
      </w:pPr>
      <w:r>
        <w:rPr>
          <w:rFonts w:ascii="Arial" w:cs="Arial" w:eastAsia="Arial" w:hAnsi="Arial"/>
          <w:sz w:val="24"/>
          <w:szCs w:val="24"/>
        </w:rPr>
        <w:t xml:space="preserve">In cases governed by Articles 69 Ter and 69 Quater of this Code, the registration shall take effect under the terms and conditions established therein.</w:t>
      </w:r>
    </w:p>
    <w:p>
      <w:pPr>
        <w:spacing w:before="280" w:after="100"/>
        <w:jc w:val="center"/>
      </w:pPr>
      <w:r>
        <w:rPr>
          <w:rFonts w:ascii="Arial" w:cs="Arial" w:eastAsia="Arial" w:hAnsi="Arial"/>
          <w:b/>
          <w:bCs/>
          <w:color w:val="1F3864"/>
          <w:sz w:val="26"/>
          <w:szCs w:val="26"/>
        </w:rPr>
        <w:t xml:space="preserve">CHAPTER XV
PUBLIC REGISTRY OF SEXUAL AGGRESSORS</w:t>
      </w:r>
    </w:p>
    <w:p>
      <w:pPr>
        <w:spacing w:before="240" w:after="60"/>
      </w:pPr>
      <w:r>
        <w:rPr>
          <w:rFonts w:ascii="Arial" w:cs="Arial" w:eastAsia="Arial" w:hAnsi="Arial"/>
          <w:b/>
          <w:bCs/>
          <w:sz w:val="24"/>
          <w:szCs w:val="24"/>
        </w:rPr>
        <w:t xml:space="preserve">ARTICLE 69 TER — Application and Scope.</w:t>
      </w:r>
    </w:p>
    <w:p>
      <w:pPr>
        <w:spacing w:before="0" w:after="160"/>
      </w:pPr>
      <w:r>
        <w:rPr>
          <w:rFonts w:ascii="Arial" w:cs="Arial" w:eastAsia="Arial" w:hAnsi="Arial"/>
          <w:sz w:val="24"/>
          <w:szCs w:val="24"/>
        </w:rPr>
        <w:t xml:space="preserve">The judge shall, without exception, order the registration of convicted persons — upon the sentence becoming final — in the Public Registry of Sexual Aggressors when they have been sentenced for any of the following offenses under this Code: Femicide under the circumstances of Article 148 BIS, Section I; Rape under Articles 174 and 175; the conduct described in Article 181 BIS against minors under 12 years of age; Sexual Tourism under Article 186; and Human Trafficking under Article 188 Bis. The registration shall have a minimum duration of ten years and a maximum of thirty years.</w:t>
      </w:r>
    </w:p>
    <w:p>
      <w:pPr>
        <w:spacing w:before="0" w:after="160"/>
      </w:pPr>
      <w:r>
        <w:rPr>
          <w:rFonts w:ascii="Arial" w:cs="Arial" w:eastAsia="Arial" w:hAnsi="Arial"/>
          <w:sz w:val="24"/>
          <w:szCs w:val="24"/>
        </w:rPr>
        <w:t xml:space="preserve">The registration shall remain in effect for the entire duration of the prison sentence imposed, even if that sentence is substituted or suspended as permitted by law, and shall extend for a minimum of ten years and a maximum of thirty years from the date on which the sentenced person, for any reason other than those already specified, obtains their release.</w:t>
      </w:r>
    </w:p>
    <w:p>
      <w:pPr>
        <w:spacing w:before="240" w:after="60"/>
      </w:pPr>
      <w:r>
        <w:rPr>
          <w:rFonts w:ascii="Arial" w:cs="Arial" w:eastAsia="Arial" w:hAnsi="Arial"/>
          <w:b/>
          <w:bCs/>
          <w:sz w:val="24"/>
          <w:szCs w:val="24"/>
        </w:rPr>
        <w:t xml:space="preserve">ARTICLE 69 QUATER — Extension of the Measure.</w:t>
      </w:r>
    </w:p>
    <w:p>
      <w:pPr>
        <w:spacing w:before="0" w:after="160"/>
      </w:pPr>
      <w:r>
        <w:rPr>
          <w:rFonts w:ascii="Arial" w:cs="Arial" w:eastAsia="Arial" w:hAnsi="Arial"/>
          <w:sz w:val="24"/>
          <w:szCs w:val="24"/>
        </w:rPr>
        <w:t xml:space="preserve">The registration of persons sentenced for the offenses set forth in the preceding article shall apply regardless of the sex of the victim or victims, and, when the victim is a minor, independently of the provisions of the Law on Women’s Access to a Life Free from Violence of Mexico City.</w:t>
      </w:r>
    </w:p>
    <w:p>
      <w:pPr>
        <w:spacing w:before="240" w:after="60"/>
      </w:pPr>
      <w:r>
        <w:rPr>
          <w:rFonts w:ascii="Arial" w:cs="Arial" w:eastAsia="Arial" w:hAnsi="Arial"/>
          <w:b/>
          <w:bCs/>
          <w:sz w:val="24"/>
          <w:szCs w:val="24"/>
        </w:rPr>
        <w:t xml:space="preserve">ARTICLE 71 QUATER — General Rules for Reduced Penalties upon Acknowledgment of Participation.</w:t>
      </w:r>
    </w:p>
    <w:p>
      <w:pPr>
        <w:spacing w:before="0" w:after="160"/>
      </w:pPr>
      <w:r>
        <w:rPr>
          <w:rFonts w:ascii="Arial" w:cs="Arial" w:eastAsia="Arial" w:hAnsi="Arial"/>
          <w:sz w:val="24"/>
          <w:szCs w:val="24"/>
        </w:rPr>
        <w:t xml:space="preserve">[… prior text unchanged …]</w:t>
      </w:r>
    </w:p>
    <w:p>
      <w:pPr>
        <w:spacing w:before="0" w:after="160"/>
      </w:pPr>
      <w:r>
        <w:rPr>
          <w:rFonts w:ascii="Arial" w:cs="Arial" w:eastAsia="Arial" w:hAnsi="Arial"/>
          <w:sz w:val="24"/>
          <w:szCs w:val="24"/>
        </w:rPr>
        <w:t xml:space="preserve">The exception to registration in the Public Registry of Sexual Aggressors shall not apply.</w:t>
      </w:r>
    </w:p>
    <w:p>
      <w:pPr>
        <w:spacing w:before="240" w:after="60"/>
      </w:pPr>
      <w:r>
        <w:rPr>
          <w:rFonts w:ascii="Arial" w:cs="Arial" w:eastAsia="Arial" w:hAnsi="Arial"/>
          <w:b/>
          <w:bCs/>
          <w:sz w:val="24"/>
          <w:szCs w:val="24"/>
        </w:rPr>
        <w:t xml:space="preserve">ARTICLE 72 — Criteria for Individualization of Penalties and Security Measures.</w:t>
      </w:r>
    </w:p>
    <w:p>
      <w:pPr>
        <w:spacing w:before="0" w:after="160"/>
      </w:pPr>
      <w:r>
        <w:rPr>
          <w:rFonts w:ascii="Arial" w:cs="Arial" w:eastAsia="Arial" w:hAnsi="Arial"/>
          <w:sz w:val="24"/>
          <w:szCs w:val="24"/>
        </w:rPr>
        <w:t xml:space="preserve">When handing down a conviction, the judge shall determine the penalty and security measure established for each offense and shall individualize them within the prescribed limits, based on the severity of the unlawful act and the degree of culpability of the offender, taking into account:</w:t>
      </w:r>
    </w:p>
    <w:p>
      <w:pPr>
        <w:spacing w:before="40" w:after="40"/>
        <w:ind w:left="720"/>
      </w:pPr>
      <w:r>
        <w:rPr>
          <w:rFonts w:ascii="Arial" w:cs="Arial" w:eastAsia="Arial" w:hAnsi="Arial"/>
          <w:sz w:val="24"/>
          <w:szCs w:val="24"/>
        </w:rPr>
        <w:t xml:space="preserve">I through IV. [… unchanged …]</w:t>
      </w:r>
    </w:p>
    <w:p>
      <w:pPr>
        <w:spacing w:before="40" w:after="40"/>
        <w:ind w:left="720"/>
      </w:pPr>
      <w:r>
        <w:rPr>
          <w:rFonts w:ascii="Arial" w:cs="Arial" w:eastAsia="Arial" w:hAnsi="Arial"/>
          <w:sz w:val="24"/>
          <w:szCs w:val="24"/>
        </w:rPr>
        <w:t xml:space="preserve">V. The age, educational level, customs, social, economic and cultural conditions of the offender, misogyny where the act involves sexual violence, as well as the motives that drove or led them to commit the offense. When the defendant belongs to an ethnic group or indigenous community, their customs and practices shall also be taken into account.</w:t>
      </w:r>
    </w:p>
    <w:p>
      <w:pPr>
        <w:spacing w:before="40" w:after="40"/>
        <w:ind w:left="720"/>
      </w:pPr>
      <w:r>
        <w:rPr>
          <w:rFonts w:ascii="Arial" w:cs="Arial" w:eastAsia="Arial" w:hAnsi="Arial"/>
          <w:sz w:val="24"/>
          <w:szCs w:val="24"/>
        </w:rPr>
        <w:t xml:space="preserve">VI through VIII. [… unchanged …]</w:t>
      </w:r>
    </w:p>
    <w:p>
      <w:pPr>
        <w:spacing w:before="240" w:after="60"/>
      </w:pPr>
      <w:r>
        <w:rPr>
          <w:rFonts w:ascii="Arial" w:cs="Arial" w:eastAsia="Arial" w:hAnsi="Arial"/>
          <w:b/>
          <w:bCs/>
          <w:sz w:val="24"/>
          <w:szCs w:val="24"/>
        </w:rPr>
        <w:t xml:space="preserve">ARTICLE 75 — Unnecessary Penalty.</w:t>
      </w:r>
    </w:p>
    <w:p>
      <w:pPr>
        <w:spacing w:before="0" w:after="160"/>
      </w:pPr>
      <w:r>
        <w:rPr>
          <w:rFonts w:ascii="Arial" w:cs="Arial" w:eastAsia="Arial" w:hAnsi="Arial"/>
          <w:sz w:val="24"/>
          <w:szCs w:val="24"/>
        </w:rPr>
        <w:t xml:space="preserve">The judge, on their own motion or upon request of a party, may forgo imposing a custodial or liberty-restricting penalty, or substitute it with a less severe penalty or a security measure, when imposition would be manifestly unnecessary and irrational because the offender: [… subsections a) through c) unchanged …]</w:t>
      </w:r>
    </w:p>
    <w:p>
      <w:pPr>
        <w:spacing w:before="0" w:after="160"/>
      </w:pPr>
      <w:r>
        <w:rPr>
          <w:rFonts w:ascii="Arial" w:cs="Arial" w:eastAsia="Arial" w:hAnsi="Arial"/>
          <w:sz w:val="24"/>
          <w:szCs w:val="24"/>
        </w:rPr>
        <w:t xml:space="preserve">Reparation for harm, economic sanctions, and registration in the Public Registry of Sexual Aggressors are expressly excepted and may not be foregone.</w:t>
      </w:r>
    </w:p>
    <w:p>
      <w:pPr>
        <w:spacing w:before="240" w:after="60"/>
      </w:pPr>
      <w:r>
        <w:rPr>
          <w:rFonts w:ascii="Arial" w:cs="Arial" w:eastAsia="Arial" w:hAnsi="Arial"/>
          <w:b/>
          <w:bCs/>
          <w:sz w:val="24"/>
          <w:szCs w:val="24"/>
        </w:rPr>
        <w:t xml:space="preserve">ARTICLE 86 (partial).</w:t>
      </w:r>
    </w:p>
    <w:p>
      <w:pPr>
        <w:spacing w:before="0" w:after="160"/>
      </w:pPr>
      <w:r>
        <w:rPr>
          <w:rFonts w:ascii="Arial" w:cs="Arial" w:eastAsia="Arial" w:hAnsi="Arial"/>
          <w:sz w:val="24"/>
          <w:szCs w:val="24"/>
        </w:rPr>
        <w:t xml:space="preserve">[… prior text unchanged …]</w:t>
      </w:r>
    </w:p>
    <w:p>
      <w:pPr>
        <w:spacing w:before="0" w:after="160"/>
      </w:pPr>
      <w:r>
        <w:rPr>
          <w:rFonts w:ascii="Arial" w:cs="Arial" w:eastAsia="Arial" w:hAnsi="Arial"/>
          <w:sz w:val="24"/>
          <w:szCs w:val="24"/>
        </w:rPr>
        <w:t xml:space="preserve">In cases of offenses involving sexual violence where registration in the Public Registry of Sexual Aggressors has been ordered as a security measure, such registration shall not be substituted and must continue pursuant to Article 69 Ter of this Code.</w:t>
      </w:r>
    </w:p>
    <w:p>
      <w:pPr>
        <w:spacing w:before="0" w:after="160"/>
      </w:pPr>
      <w:r>
        <w:rPr>
          <w:rFonts w:ascii="Arial" w:cs="Arial" w:eastAsia="Arial" w:hAnsi="Arial"/>
          <w:sz w:val="24"/>
          <w:szCs w:val="24"/>
        </w:rPr>
        <w:t xml:space="preserve">Substitution of the prison sentence may not be applied by the court when the defendant was previously convicted by a final judgment for an intentional offense prosecuted ex officio, nor when it is not permissible under applicable law in cases of offenses against public finances.</w:t>
      </w:r>
    </w:p>
    <w:p>
      <w:pPr>
        <w:spacing w:before="240" w:after="60"/>
      </w:pPr>
      <w:r>
        <w:rPr>
          <w:rFonts w:ascii="Arial" w:cs="Arial" w:eastAsia="Arial" w:hAnsi="Arial"/>
          <w:b/>
          <w:bCs/>
          <w:sz w:val="24"/>
          <w:szCs w:val="24"/>
        </w:rPr>
        <w:t xml:space="preserve">ARTICLE 96 — Scope of Extinguishment.</w:t>
      </w:r>
    </w:p>
    <w:p>
      <w:pPr>
        <w:spacing w:before="0" w:after="160"/>
      </w:pPr>
      <w:r>
        <w:rPr>
          <w:rFonts w:ascii="Arial" w:cs="Arial" w:eastAsia="Arial" w:hAnsi="Arial"/>
          <w:sz w:val="24"/>
          <w:szCs w:val="24"/>
        </w:rPr>
        <w:t xml:space="preserve">The extinguishment produced under the terms of Article 94 does not cover the forfeiture of instruments, objects, and proceeds of the offense, or registration in the Public Registry of Sexual Aggressors, nor does it affect reparation of harm and damages, unless there is an express legal provision to the contrary or the authority to enforce such monetary penalty is extinguished by some cause.</w:t>
      </w:r>
    </w:p>
    <w:p>
      <w:pPr>
        <w:spacing w:before="240" w:after="60"/>
      </w:pPr>
      <w:r>
        <w:rPr>
          <w:rFonts w:ascii="Arial" w:cs="Arial" w:eastAsia="Arial" w:hAnsi="Arial"/>
          <w:b/>
          <w:bCs/>
          <w:sz w:val="24"/>
          <w:szCs w:val="24"/>
        </w:rPr>
        <w:t xml:space="preserve">ARTICLE 178 BIS.</w:t>
      </w:r>
    </w:p>
    <w:p>
      <w:pPr>
        <w:spacing w:before="0" w:after="160"/>
      </w:pPr>
      <w:r>
        <w:rPr>
          <w:rFonts w:ascii="Arial" w:cs="Arial" w:eastAsia="Arial" w:hAnsi="Arial"/>
          <w:sz w:val="24"/>
          <w:szCs w:val="24"/>
        </w:rPr>
        <w:t xml:space="preserve">For the offenses set forth in this chapter, the judge shall order the sentenced person to be registered in the Public Registry of Sexual Aggressors as a security measure for community protection, unless the offenses are prosecuted by complaint, pursuant to Articles 69 Ter and 69 Quater of this Code.</w:t>
      </w:r>
    </w:p>
    <w:p>
      <w:pPr>
        <w:spacing w:before="240" w:after="60"/>
      </w:pPr>
      <w:r>
        <w:rPr>
          <w:rFonts w:ascii="Arial" w:cs="Arial" w:eastAsia="Arial" w:hAnsi="Arial"/>
          <w:b/>
          <w:bCs/>
          <w:sz w:val="24"/>
          <w:szCs w:val="24"/>
        </w:rPr>
        <w:t xml:space="preserve">ARTICLE 181 TER.</w:t>
      </w:r>
    </w:p>
    <w:p>
      <w:pPr>
        <w:spacing w:before="0" w:after="160"/>
      </w:pPr>
      <w:r>
        <w:rPr>
          <w:rFonts w:ascii="Arial" w:cs="Arial" w:eastAsia="Arial" w:hAnsi="Arial"/>
          <w:sz w:val="24"/>
          <w:szCs w:val="24"/>
        </w:rPr>
        <w:t xml:space="preserve">The penalties set forth in the preceding article shall be increased by two-thirds when the offenses are committed under the circumstances described in Sections I through VIII.</w:t>
      </w:r>
    </w:p>
    <w:p>
      <w:pPr>
        <w:spacing w:before="0" w:after="160"/>
      </w:pPr>
      <w:r>
        <w:rPr>
          <w:rFonts w:ascii="Arial" w:cs="Arial" w:eastAsia="Arial" w:hAnsi="Arial"/>
          <w:sz w:val="24"/>
          <w:szCs w:val="24"/>
        </w:rPr>
        <w:t xml:space="preserve">In such cases, the judge shall adopt appropriate measures to prohibit the aggressor from having any type of contact or relationship with the minor, and shall order in the respective judgment that the sentenced person be registered in the Public Registry of Sexual Aggressors of Mexico City.</w:t>
      </w:r>
    </w:p>
    <w:p>
      <w:pPr>
        <w:pBdr>
          <w:bottom w:val="single" w:color="AAAAAA" w:sz="4"/>
        </w:pBdr>
        <w:spacing w:before="200" w:after="200"/>
      </w:pPr>
    </w:p>
    <w:p>
      <w:pPr>
        <w:spacing w:before="280" w:after="100"/>
      </w:pPr>
      <w:r>
        <w:rPr>
          <w:rFonts w:ascii="Arial" w:cs="Arial" w:eastAsia="Arial" w:hAnsi="Arial"/>
          <w:b/>
          <w:bCs/>
          <w:sz w:val="24"/>
          <w:szCs w:val="24"/>
          <w:u w:val="single"/>
        </w:rPr>
        <w:t xml:space="preserve">SECOND.</w:t>
      </w:r>
    </w:p>
    <w:p>
      <w:pPr>
        <w:spacing w:before="0" w:after="160"/>
      </w:pPr>
      <w:r>
        <w:rPr>
          <w:rFonts w:ascii="Arial" w:cs="Arial" w:eastAsia="Arial" w:hAnsi="Arial"/>
          <w:sz w:val="24"/>
          <w:szCs w:val="24"/>
        </w:rPr>
        <w:t xml:space="preserve">The following articles of the Law on Women’s Access to a Life Free from Violence of Mexico City are hereby amended: Article 3, Sections XII and XIV; Article 11; Article 24, Section IV; Article 25, Sections I, III and V; Article 26, Sections I and VIII; Article 47, Section III; Article 55, Section I; Article 57, Section I; Article 58, Section I; Article 59, Section I; and Article 63, Sections VII and XI.</w:t>
      </w:r>
    </w:p>
    <w:p>
      <w:pPr>
        <w:spacing w:before="0" w:after="160"/>
      </w:pPr>
      <w:r>
        <w:rPr>
          <w:rFonts w:ascii="Arial" w:cs="Arial" w:eastAsia="Arial" w:hAnsi="Arial"/>
          <w:sz w:val="24"/>
          <w:szCs w:val="24"/>
        </w:rPr>
        <w:t xml:space="preserve">The following are hereby added: Section XXV to Article 3; a second paragraph to Section II of Article 5; a third paragraph to Article 13; Article 14 Ter; Article 15 BIS; Section IV to Article 47; Article 60 BIS; a new Section XI to Article 63 (with existing sections renumbered); and Title Seven with a single Chapter entitled “Public Registry of Sexual Aggressors” comprising new Articles 79 through 83.</w:t>
      </w:r>
    </w:p>
    <w:p>
      <w:pPr>
        <w:pBdr>
          <w:bottom w:val="single" w:color="AAAAAA" w:sz="4"/>
        </w:pBdr>
        <w:spacing w:before="200" w:after="200"/>
      </w:pPr>
    </w:p>
    <w:p>
      <w:pPr>
        <w:spacing w:before="280" w:after="100"/>
        <w:jc w:val="center"/>
      </w:pPr>
      <w:r>
        <w:rPr>
          <w:rFonts w:ascii="Arial" w:cs="Arial" w:eastAsia="Arial" w:hAnsi="Arial"/>
          <w:b/>
          <w:bCs/>
          <w:color w:val="1F3864"/>
          <w:sz w:val="26"/>
          <w:szCs w:val="26"/>
        </w:rPr>
        <w:t xml:space="preserve">LAW ON WOMEN’S ACCESS TO A LIFE FREE FROM VIOLENCE OF MEXICO CITY</w:t>
      </w:r>
    </w:p>
    <w:p>
      <w:pPr>
        <w:spacing w:before="240" w:after="60"/>
      </w:pPr>
      <w:r>
        <w:rPr>
          <w:rFonts w:ascii="Arial" w:cs="Arial" w:eastAsia="Arial" w:hAnsi="Arial"/>
          <w:b/>
          <w:bCs/>
          <w:sz w:val="24"/>
          <w:szCs w:val="24"/>
        </w:rPr>
        <w:t xml:space="preserve">ARTICLE 3 — Definitions.</w:t>
      </w:r>
    </w:p>
    <w:p>
      <w:pPr>
        <w:spacing w:before="0" w:after="160"/>
      </w:pPr>
      <w:r>
        <w:rPr>
          <w:rFonts w:ascii="Arial" w:cs="Arial" w:eastAsia="Arial" w:hAnsi="Arial"/>
          <w:sz w:val="24"/>
          <w:szCs w:val="24"/>
        </w:rPr>
        <w:t xml:space="preserve">For purposes of this Law:</w:t>
      </w:r>
    </w:p>
    <w:p>
      <w:pPr>
        <w:spacing w:before="40" w:after="40"/>
        <w:ind w:left="720"/>
      </w:pPr>
      <w:r>
        <w:rPr>
          <w:rFonts w:ascii="Arial" w:cs="Arial" w:eastAsia="Arial" w:hAnsi="Arial"/>
          <w:sz w:val="24"/>
          <w:szCs w:val="24"/>
        </w:rPr>
        <w:t xml:space="preserve">I through XI. [… unchanged …]</w:t>
      </w:r>
    </w:p>
    <w:p>
      <w:pPr>
        <w:spacing w:before="40" w:after="40"/>
        <w:ind w:left="720"/>
      </w:pPr>
      <w:r>
        <w:rPr>
          <w:rFonts w:ascii="Arial" w:cs="Arial" w:eastAsia="Arial" w:hAnsi="Arial"/>
          <w:sz w:val="24"/>
          <w:szCs w:val="24"/>
        </w:rPr>
        <w:t xml:space="preserve">XII. Aggressor: Any person or persons who inflict any type of violence against women in any of its forms and modalities, as well as persons registered in the Public Registry of Sexual Aggressors.</w:t>
      </w:r>
    </w:p>
    <w:p>
      <w:pPr>
        <w:spacing w:before="40" w:after="40"/>
        <w:ind w:left="720"/>
      </w:pPr>
      <w:r>
        <w:rPr>
          <w:rFonts w:ascii="Arial" w:cs="Arial" w:eastAsia="Arial" w:hAnsi="Arial"/>
          <w:sz w:val="24"/>
          <w:szCs w:val="24"/>
        </w:rPr>
        <w:t xml:space="preserve">XIII. [… unchanged …]</w:t>
      </w:r>
    </w:p>
    <w:p>
      <w:pPr>
        <w:spacing w:before="40" w:after="40"/>
        <w:ind w:left="720"/>
      </w:pPr>
      <w:r>
        <w:rPr>
          <w:rFonts w:ascii="Arial" w:cs="Arial" w:eastAsia="Arial" w:hAnsi="Arial"/>
          <w:sz w:val="24"/>
          <w:szCs w:val="24"/>
        </w:rPr>
        <w:t xml:space="preserve">XIV. Prosecutor’s Office: The General Justice Prosecutor’s Office of Mexico City.</w:t>
      </w:r>
    </w:p>
    <w:p>
      <w:pPr>
        <w:spacing w:before="40" w:after="40"/>
        <w:ind w:left="720"/>
      </w:pPr>
      <w:r>
        <w:rPr>
          <w:rFonts w:ascii="Arial" w:cs="Arial" w:eastAsia="Arial" w:hAnsi="Arial"/>
          <w:sz w:val="24"/>
          <w:szCs w:val="24"/>
        </w:rPr>
        <w:t xml:space="preserve">XV through XXIV. [… unchanged …]</w:t>
      </w:r>
    </w:p>
    <w:p>
      <w:pPr>
        <w:spacing w:before="40" w:after="40"/>
        <w:ind w:left="720"/>
      </w:pPr>
      <w:r>
        <w:rPr>
          <w:rFonts w:ascii="Arial" w:cs="Arial" w:eastAsia="Arial" w:hAnsi="Arial"/>
          <w:sz w:val="24"/>
          <w:szCs w:val="24"/>
        </w:rPr>
        <w:t xml:space="preserve">XXV. Registry: The Public Registry of Sexual Aggressors.</w:t>
      </w:r>
    </w:p>
    <w:p>
      <w:pPr>
        <w:spacing w:before="240" w:after="60"/>
      </w:pPr>
      <w:r>
        <w:rPr>
          <w:rFonts w:ascii="Arial" w:cs="Arial" w:eastAsia="Arial" w:hAnsi="Arial"/>
          <w:b/>
          <w:bCs/>
          <w:sz w:val="24"/>
          <w:szCs w:val="24"/>
        </w:rPr>
        <w:t xml:space="preserve">ARTICLE 5 — Rights of Women Victims.</w:t>
      </w:r>
    </w:p>
    <w:p>
      <w:pPr>
        <w:spacing w:before="0" w:after="160"/>
      </w:pPr>
      <w:r>
        <w:rPr>
          <w:rFonts w:ascii="Arial" w:cs="Arial" w:eastAsia="Arial" w:hAnsi="Arial"/>
          <w:sz w:val="24"/>
          <w:szCs w:val="24"/>
        </w:rPr>
        <w:t xml:space="preserve">Women victims of any type of violence shall have the following rights:</w:t>
      </w:r>
    </w:p>
    <w:p>
      <w:pPr>
        <w:spacing w:before="40" w:after="40"/>
        <w:ind w:left="720"/>
      </w:pPr>
      <w:r>
        <w:rPr>
          <w:rFonts w:ascii="Arial" w:cs="Arial" w:eastAsia="Arial" w:hAnsi="Arial"/>
          <w:sz w:val="24"/>
          <w:szCs w:val="24"/>
        </w:rPr>
        <w:t xml:space="preserve">I. [… unchanged …]</w:t>
      </w:r>
    </w:p>
    <w:p>
      <w:pPr>
        <w:spacing w:before="40" w:after="40"/>
        <w:ind w:left="720"/>
      </w:pPr>
      <w:r>
        <w:rPr>
          <w:rFonts w:ascii="Arial" w:cs="Arial" w:eastAsia="Arial" w:hAnsi="Arial"/>
          <w:sz w:val="24"/>
          <w:szCs w:val="24"/>
        </w:rPr>
        <w:t xml:space="preserve">II. The right to immediate and effective protection by authorities when their physical or psychological integrity, liberty, or security — or that of indirect victims — is at risk. For purposes of preventing the risk of sexual violence, this includes the existence of a Public Registry of Sexual Aggressors under the terms established by applicable regulations.</w:t>
      </w:r>
    </w:p>
    <w:p>
      <w:pPr>
        <w:spacing w:before="40" w:after="40"/>
        <w:ind w:left="720"/>
      </w:pPr>
      <w:r>
        <w:rPr>
          <w:rFonts w:ascii="Arial" w:cs="Arial" w:eastAsia="Arial" w:hAnsi="Arial"/>
          <w:sz w:val="24"/>
          <w:szCs w:val="24"/>
        </w:rPr>
        <w:t xml:space="preserve">III through X. [… unchanged …]</w:t>
      </w:r>
    </w:p>
    <w:p>
      <w:pPr>
        <w:spacing w:before="240" w:after="60"/>
      </w:pPr>
      <w:r>
        <w:rPr>
          <w:rFonts w:ascii="Arial" w:cs="Arial" w:eastAsia="Arial" w:hAnsi="Arial"/>
          <w:b/>
          <w:bCs/>
          <w:sz w:val="24"/>
          <w:szCs w:val="24"/>
        </w:rPr>
        <w:t xml:space="preserve">ARTICLE 11 — Interinstitutional Coordination.</w:t>
      </w:r>
    </w:p>
    <w:p>
      <w:pPr>
        <w:spacing w:before="0" w:after="160"/>
      </w:pPr>
      <w:r>
        <w:rPr>
          <w:rFonts w:ascii="Arial" w:cs="Arial" w:eastAsia="Arial" w:hAnsi="Arial"/>
          <w:sz w:val="24"/>
          <w:szCs w:val="24"/>
        </w:rPr>
        <w:t xml:space="preserve">For the effective application of this Law, the agencies and entities of Mexico City shall establish interinstitutional coordination among the Secretariats of Government, Social Development, Public Safety, Labor and Employment Promotion, Health, Education, Culture, Urban Development and Housing, the General Justice Prosecutor’s Office, the Legal and Legislative Services Counsel, the Secretariat for Women, the Social Ombudsman, the Public Transit System, the System for the Comprehensive Development of the Family of Mexico City, and the sixteen Political-Administrative Bodies.</w:t>
      </w:r>
    </w:p>
    <w:p>
      <w:pPr>
        <w:spacing w:before="240" w:after="60"/>
      </w:pPr>
      <w:r>
        <w:rPr>
          <w:rFonts w:ascii="Arial" w:cs="Arial" w:eastAsia="Arial" w:hAnsi="Arial"/>
          <w:b/>
          <w:bCs/>
          <w:sz w:val="24"/>
          <w:szCs w:val="24"/>
        </w:rPr>
        <w:t xml:space="preserve">ARTICLE 13 — Prevention.</w:t>
      </w:r>
    </w:p>
    <w:p>
      <w:pPr>
        <w:spacing w:before="0" w:after="160"/>
      </w:pPr>
      <w:r>
        <w:rPr>
          <w:rFonts w:ascii="Arial" w:cs="Arial" w:eastAsia="Arial" w:hAnsi="Arial"/>
          <w:sz w:val="24"/>
          <w:szCs w:val="24"/>
        </w:rPr>
        <w:t xml:space="preserve">Prevention is the set of actions that agencies and entities of Mexico City and the Borough Governments must carry out to prevent the commission of offenses and other acts of violence against women, addressing possible risk factors in both public and private spheres.</w:t>
      </w:r>
    </w:p>
    <w:p>
      <w:pPr>
        <w:spacing w:before="0" w:after="160"/>
      </w:pPr>
      <w:r>
        <w:rPr>
          <w:rFonts w:ascii="Arial" w:cs="Arial" w:eastAsia="Arial" w:hAnsi="Arial"/>
          <w:sz w:val="24"/>
          <w:szCs w:val="24"/>
        </w:rPr>
        <w:t xml:space="preserve">Prevention encompasses general and specific measures, among which non-criminal measures shall be prioritized, as well as security measures determined by the judiciary regarding the registration of persons sentenced for offenses related to sexual violence.</w:t>
      </w:r>
    </w:p>
    <w:p>
      <w:pPr>
        <w:spacing w:before="240" w:after="60"/>
      </w:pPr>
      <w:r>
        <w:rPr>
          <w:rFonts w:ascii="Arial" w:cs="Arial" w:eastAsia="Arial" w:hAnsi="Arial"/>
          <w:b/>
          <w:bCs/>
          <w:sz w:val="24"/>
          <w:szCs w:val="24"/>
        </w:rPr>
        <w:t xml:space="preserve">ARTICLE 14 TER.</w:t>
      </w:r>
    </w:p>
    <w:p>
      <w:pPr>
        <w:spacing w:before="0" w:after="160"/>
      </w:pPr>
      <w:r>
        <w:rPr>
          <w:rFonts w:ascii="Arial" w:cs="Arial" w:eastAsia="Arial" w:hAnsi="Arial"/>
          <w:sz w:val="24"/>
          <w:szCs w:val="24"/>
        </w:rPr>
        <w:t xml:space="preserve">The Public Registry of Sexual Aggressors of Mexico City is hereby created as an effective mechanism for prevention and protection, aimed at addressing the risk factor of recidivism and repetition of sexually violent conduct, in favor of victims or potential victims of such violence.</w:t>
      </w:r>
    </w:p>
    <w:p>
      <w:pPr>
        <w:spacing w:before="240" w:after="60"/>
      </w:pPr>
      <w:r>
        <w:rPr>
          <w:rFonts w:ascii="Arial" w:cs="Arial" w:eastAsia="Arial" w:hAnsi="Arial"/>
          <w:b/>
          <w:bCs/>
          <w:sz w:val="24"/>
          <w:szCs w:val="24"/>
        </w:rPr>
        <w:t xml:space="preserve">ARTICLE 15 BIS — Obligations of the Secretariat of Government.</w:t>
      </w:r>
    </w:p>
    <w:p>
      <w:pPr>
        <w:spacing w:before="0" w:after="160"/>
      </w:pPr>
      <w:r>
        <w:rPr>
          <w:rFonts w:ascii="Arial" w:cs="Arial" w:eastAsia="Arial" w:hAnsi="Arial"/>
          <w:sz w:val="24"/>
          <w:szCs w:val="24"/>
        </w:rPr>
        <w:t xml:space="preserve">The obligations of the Secretariat of Government are as follows:</w:t>
      </w:r>
    </w:p>
    <w:p>
      <w:pPr>
        <w:spacing w:before="40" w:after="40"/>
        <w:ind w:left="720"/>
      </w:pPr>
      <w:r>
        <w:rPr>
          <w:rFonts w:ascii="Arial" w:cs="Arial" w:eastAsia="Arial" w:hAnsi="Arial"/>
          <w:sz w:val="24"/>
          <w:szCs w:val="24"/>
        </w:rPr>
        <w:t xml:space="preserve">I. To publish the Public Registry of Sexual Aggressors on its official web portal, registering the sentenced person once the sentence becomes final.</w:t>
      </w:r>
    </w:p>
    <w:p>
      <w:pPr>
        <w:spacing w:before="40" w:after="40"/>
        <w:ind w:left="720"/>
      </w:pPr>
      <w:r>
        <w:rPr>
          <w:rFonts w:ascii="Arial" w:cs="Arial" w:eastAsia="Arial" w:hAnsi="Arial"/>
          <w:sz w:val="24"/>
          <w:szCs w:val="24"/>
        </w:rPr>
        <w:t xml:space="preserve">II. To participate in interinstitutional coordination and in the violence prevention and eradication actions provided for in this Law.</w:t>
      </w:r>
    </w:p>
    <w:p>
      <w:pPr>
        <w:spacing w:before="40" w:after="40"/>
        <w:ind w:left="720"/>
      </w:pPr>
      <w:r>
        <w:rPr>
          <w:rFonts w:ascii="Arial" w:cs="Arial" w:eastAsia="Arial" w:hAnsi="Arial"/>
          <w:sz w:val="24"/>
          <w:szCs w:val="24"/>
        </w:rPr>
        <w:t xml:space="preserve">III. To establish guidelines for creating, organizing, implementing, managing, updating, monitoring, and evaluating the operation of the Public Registry of Sexual Aggressors.</w:t>
      </w:r>
    </w:p>
    <w:p>
      <w:pPr>
        <w:spacing w:before="40" w:after="40"/>
        <w:ind w:left="720"/>
      </w:pPr>
      <w:r>
        <w:rPr>
          <w:rFonts w:ascii="Arial" w:cs="Arial" w:eastAsia="Arial" w:hAnsi="Arial"/>
          <w:sz w:val="24"/>
          <w:szCs w:val="24"/>
        </w:rPr>
        <w:t xml:space="preserve">IV. To issue mechanisms allowing for the registration, access, rectification, cancellation, and opposition, where applicable, of information contained in the Registry.</w:t>
      </w:r>
    </w:p>
    <w:p>
      <w:pPr>
        <w:spacing w:before="40" w:after="40"/>
        <w:ind w:left="720"/>
      </w:pPr>
      <w:r>
        <w:rPr>
          <w:rFonts w:ascii="Arial" w:cs="Arial" w:eastAsia="Arial" w:hAnsi="Arial"/>
          <w:sz w:val="24"/>
          <w:szCs w:val="24"/>
        </w:rPr>
        <w:t xml:space="preserve">V. To enter into agreements with public, private, and academic institutions as necessary to fulfill its purpose.</w:t>
      </w:r>
    </w:p>
    <w:p>
      <w:pPr>
        <w:spacing w:before="240" w:after="60"/>
      </w:pPr>
      <w:r>
        <w:rPr>
          <w:rFonts w:ascii="Arial" w:cs="Arial" w:eastAsia="Arial" w:hAnsi="Arial"/>
          <w:b/>
          <w:bCs/>
          <w:sz w:val="24"/>
          <w:szCs w:val="24"/>
        </w:rPr>
        <w:t xml:space="preserve">ARTICLE 24 — System for Comprehensive Family Development (DIF CDMX).</w:t>
      </w:r>
    </w:p>
    <w:p>
      <w:pPr>
        <w:spacing w:before="0" w:after="160"/>
      </w:pPr>
      <w:r>
        <w:rPr>
          <w:rFonts w:ascii="Arial" w:cs="Arial" w:eastAsia="Arial" w:hAnsi="Arial"/>
          <w:sz w:val="24"/>
          <w:szCs w:val="24"/>
        </w:rPr>
        <w:t xml:space="preserve">The System for the Comprehensive Development of the Family of Mexico City shall:</w:t>
      </w:r>
    </w:p>
    <w:p>
      <w:pPr>
        <w:spacing w:before="40" w:after="40"/>
        <w:ind w:left="720"/>
      </w:pPr>
      <w:r>
        <w:rPr>
          <w:rFonts w:ascii="Arial" w:cs="Arial" w:eastAsia="Arial" w:hAnsi="Arial"/>
          <w:sz w:val="24"/>
          <w:szCs w:val="24"/>
        </w:rPr>
        <w:t xml:space="preserve">I through III. [… unchanged …]</w:t>
      </w:r>
    </w:p>
    <w:p>
      <w:pPr>
        <w:spacing w:before="40" w:after="40"/>
        <w:ind w:left="720"/>
      </w:pPr>
      <w:r>
        <w:rPr>
          <w:rFonts w:ascii="Arial" w:cs="Arial" w:eastAsia="Arial" w:hAnsi="Arial"/>
          <w:sz w:val="24"/>
          <w:szCs w:val="24"/>
        </w:rPr>
        <w:t xml:space="preserve">IV. Establish actions and measures to be taken for the re-education and social reintegration of sexual violence aggressors, provided that a duly proven psychotherapeutic intervention model exists — with demonstrated benefits and scope — supervised by the Secretariat for Women.</w:t>
      </w:r>
    </w:p>
    <w:p>
      <w:pPr>
        <w:spacing w:before="40" w:after="40"/>
        <w:ind w:left="720"/>
      </w:pPr>
      <w:r>
        <w:rPr>
          <w:rFonts w:ascii="Arial" w:cs="Arial" w:eastAsia="Arial" w:hAnsi="Arial"/>
          <w:sz w:val="24"/>
          <w:szCs w:val="24"/>
        </w:rPr>
        <w:t xml:space="preserve">V. [… unchanged …]</w:t>
      </w:r>
    </w:p>
    <w:p>
      <w:pPr>
        <w:spacing w:before="240" w:after="60"/>
      </w:pPr>
      <w:r>
        <w:rPr>
          <w:rFonts w:ascii="Arial" w:cs="Arial" w:eastAsia="Arial" w:hAnsi="Arial"/>
          <w:b/>
          <w:bCs/>
          <w:sz w:val="24"/>
          <w:szCs w:val="24"/>
        </w:rPr>
        <w:t xml:space="preserve">ARTICLE 25 — Secretariat of Public Safety.</w:t>
      </w:r>
    </w:p>
    <w:p>
      <w:pPr>
        <w:spacing w:before="0" w:after="160"/>
      </w:pPr>
      <w:r>
        <w:rPr>
          <w:rFonts w:ascii="Arial" w:cs="Arial" w:eastAsia="Arial" w:hAnsi="Arial"/>
          <w:sz w:val="24"/>
          <w:szCs w:val="24"/>
        </w:rPr>
        <w:t xml:space="preserve">The Secretariat of Public Safety shall:</w:t>
      </w:r>
    </w:p>
    <w:p>
      <w:pPr>
        <w:spacing w:before="40" w:after="40"/>
        <w:ind w:left="720"/>
      </w:pPr>
      <w:r>
        <w:rPr>
          <w:rFonts w:ascii="Arial" w:cs="Arial" w:eastAsia="Arial" w:hAnsi="Arial"/>
          <w:sz w:val="24"/>
          <w:szCs w:val="24"/>
        </w:rPr>
        <w:t xml:space="preserve">I. Develop and implement, in coordination with the Prosecutor’s Office, criminal policy actions to prevent violence against women, giving priority to areas with the highest crime rates and those where the largest number of persons registered in the Registry reside.</w:t>
      </w:r>
    </w:p>
    <w:p>
      <w:pPr>
        <w:spacing w:before="40" w:after="40"/>
        <w:ind w:left="720"/>
      </w:pPr>
      <w:r>
        <w:rPr>
          <w:rFonts w:ascii="Arial" w:cs="Arial" w:eastAsia="Arial" w:hAnsi="Arial"/>
          <w:sz w:val="24"/>
          <w:szCs w:val="24"/>
        </w:rPr>
        <w:t xml:space="preserve">II. [… unchanged …]</w:t>
      </w:r>
    </w:p>
    <w:p>
      <w:pPr>
        <w:spacing w:before="40" w:after="40"/>
        <w:ind w:left="720"/>
      </w:pPr>
      <w:r>
        <w:rPr>
          <w:rFonts w:ascii="Arial" w:cs="Arial" w:eastAsia="Arial" w:hAnsi="Arial"/>
          <w:sz w:val="24"/>
          <w:szCs w:val="24"/>
        </w:rPr>
        <w:t xml:space="preserve">III. Conduct statistical studies and research to support the development of public policies that prevent violence against women in public and private spheres, ensuring that Registry queries are kept up to date.</w:t>
      </w:r>
    </w:p>
    <w:p>
      <w:pPr>
        <w:spacing w:before="40" w:after="40"/>
        <w:ind w:left="720"/>
      </w:pPr>
      <w:r>
        <w:rPr>
          <w:rFonts w:ascii="Arial" w:cs="Arial" w:eastAsia="Arial" w:hAnsi="Arial"/>
          <w:sz w:val="24"/>
          <w:szCs w:val="24"/>
        </w:rPr>
        <w:t xml:space="preserve">IV. [… unchanged …]</w:t>
      </w:r>
    </w:p>
    <w:p>
      <w:pPr>
        <w:spacing w:before="40" w:after="40"/>
        <w:ind w:left="720"/>
      </w:pPr>
      <w:r>
        <w:rPr>
          <w:rFonts w:ascii="Arial" w:cs="Arial" w:eastAsia="Arial" w:hAnsi="Arial"/>
          <w:sz w:val="24"/>
          <w:szCs w:val="24"/>
        </w:rPr>
        <w:t xml:space="preserve">V. Carry out, in coordination with the Secretariat for Women, crime prevention campaigns addressing risk factors affecting women, including sexual risk factors, and consult the Registry.</w:t>
      </w:r>
    </w:p>
    <w:p>
      <w:pPr>
        <w:spacing w:before="40" w:after="40"/>
        <w:ind w:left="720"/>
      </w:pPr>
      <w:r>
        <w:rPr>
          <w:rFonts w:ascii="Arial" w:cs="Arial" w:eastAsia="Arial" w:hAnsi="Arial"/>
          <w:sz w:val="24"/>
          <w:szCs w:val="24"/>
        </w:rPr>
        <w:t xml:space="preserve">VI and VII. [… unchanged …]</w:t>
      </w:r>
    </w:p>
    <w:p>
      <w:pPr>
        <w:spacing w:before="240" w:after="60"/>
      </w:pPr>
      <w:r>
        <w:rPr>
          <w:rFonts w:ascii="Arial" w:cs="Arial" w:eastAsia="Arial" w:hAnsi="Arial"/>
          <w:b/>
          <w:bCs/>
          <w:sz w:val="24"/>
          <w:szCs w:val="24"/>
        </w:rPr>
        <w:t xml:space="preserve">ARTICLE 26 — Prosecutor’s Office.</w:t>
      </w:r>
    </w:p>
    <w:p>
      <w:pPr>
        <w:spacing w:before="0" w:after="160"/>
      </w:pPr>
      <w:r>
        <w:rPr>
          <w:rFonts w:ascii="Arial" w:cs="Arial" w:eastAsia="Arial" w:hAnsi="Arial"/>
          <w:sz w:val="24"/>
          <w:szCs w:val="24"/>
        </w:rPr>
        <w:t xml:space="preserve">The Prosecutor’s Office shall:</w:t>
      </w:r>
    </w:p>
    <w:p>
      <w:pPr>
        <w:spacing w:before="40" w:after="40"/>
        <w:ind w:left="720"/>
      </w:pPr>
      <w:r>
        <w:rPr>
          <w:rFonts w:ascii="Arial" w:cs="Arial" w:eastAsia="Arial" w:hAnsi="Arial"/>
          <w:sz w:val="24"/>
          <w:szCs w:val="24"/>
        </w:rPr>
        <w:t xml:space="preserve">I. Develop and implement, in coordination with the Secretariat of Public Safety, criminal policy actions to prevent violence against women, giving priority to areas with the highest crime rates and those where the largest number of persons registered in the Registry reside.</w:t>
      </w:r>
    </w:p>
    <w:p>
      <w:pPr>
        <w:spacing w:before="40" w:after="40"/>
        <w:ind w:left="720"/>
      </w:pPr>
      <w:r>
        <w:rPr>
          <w:rFonts w:ascii="Arial" w:cs="Arial" w:eastAsia="Arial" w:hAnsi="Arial"/>
          <w:sz w:val="24"/>
          <w:szCs w:val="24"/>
        </w:rPr>
        <w:t xml:space="preserve">II through VII. [… unchanged …]</w:t>
      </w:r>
    </w:p>
    <w:p>
      <w:pPr>
        <w:spacing w:before="40" w:after="40"/>
        <w:ind w:left="720"/>
      </w:pPr>
      <w:r>
        <w:rPr>
          <w:rFonts w:ascii="Arial" w:cs="Arial" w:eastAsia="Arial" w:hAnsi="Arial"/>
          <w:sz w:val="24"/>
          <w:szCs w:val="24"/>
        </w:rPr>
        <w:t xml:space="preserve">VIII. Create a public criminal records system for offenses committed against women, integrating criminal and victim statistics to define crime prevention, prosecution, and administration of justice policies. This system shall include the classification of known incidents, location, offense type, victim characteristics (but never personal data permitting identification or location), perpetrator information, motives, basic steps to be taken, difficulties in carrying out investigative acts and decisions, incidence and recidivism rates, sentenced persons whom the judiciary orders to be registered in the Registry, those bound over for trial, those subject to an order opening oral trial proceedings, those sanctioned, and cases in which reparation for harm was awarded.</w:t>
      </w:r>
    </w:p>
    <w:p>
      <w:pPr>
        <w:spacing w:before="40" w:after="40"/>
        <w:ind w:left="720"/>
      </w:pPr>
      <w:r>
        <w:rPr>
          <w:rFonts w:ascii="Arial" w:cs="Arial" w:eastAsia="Arial" w:hAnsi="Arial"/>
          <w:sz w:val="24"/>
          <w:szCs w:val="24"/>
        </w:rPr>
        <w:t xml:space="preserve">IX through XIII. [… unchanged …]</w:t>
      </w:r>
    </w:p>
    <w:p>
      <w:pPr>
        <w:spacing w:before="240" w:after="60"/>
      </w:pPr>
      <w:r>
        <w:rPr>
          <w:rFonts w:ascii="Arial" w:cs="Arial" w:eastAsia="Arial" w:hAnsi="Arial"/>
          <w:b/>
          <w:bCs/>
          <w:sz w:val="24"/>
          <w:szCs w:val="24"/>
        </w:rPr>
        <w:t xml:space="preserve">ARTICLE 47 — Working Committees.</w:t>
      </w:r>
    </w:p>
    <w:p>
      <w:pPr>
        <w:spacing w:before="0" w:after="160"/>
      </w:pPr>
      <w:r>
        <w:rPr>
          <w:rFonts w:ascii="Arial" w:cs="Arial" w:eastAsia="Arial" w:hAnsi="Arial"/>
          <w:sz w:val="24"/>
          <w:szCs w:val="24"/>
        </w:rPr>
        <w:t xml:space="preserve">In order to advance coordinated public policy development, the agencies of the Interinstitutional Commission may form thematic working committees as follows:</w:t>
      </w:r>
    </w:p>
    <w:p>
      <w:pPr>
        <w:spacing w:before="40" w:after="40"/>
        <w:ind w:left="720"/>
      </w:pPr>
      <w:r>
        <w:rPr>
          <w:rFonts w:ascii="Arial" w:cs="Arial" w:eastAsia="Arial" w:hAnsi="Arial"/>
          <w:sz w:val="24"/>
          <w:szCs w:val="24"/>
        </w:rPr>
        <w:t xml:space="preserve">I and II. [… unchanged …]</w:t>
      </w:r>
    </w:p>
    <w:p>
      <w:pPr>
        <w:spacing w:before="40" w:after="40"/>
        <w:ind w:left="720"/>
      </w:pPr>
      <w:r>
        <w:rPr>
          <w:rFonts w:ascii="Arial" w:cs="Arial" w:eastAsia="Arial" w:hAnsi="Arial"/>
          <w:sz w:val="24"/>
          <w:szCs w:val="24"/>
        </w:rPr>
        <w:t xml:space="preserve">III. The Access to Justice Committee, coordinated by the Prosecutor’s Office.</w:t>
      </w:r>
    </w:p>
    <w:p>
      <w:pPr>
        <w:spacing w:before="40" w:after="40"/>
        <w:ind w:left="720"/>
      </w:pPr>
      <w:r>
        <w:rPr>
          <w:rFonts w:ascii="Arial" w:cs="Arial" w:eastAsia="Arial" w:hAnsi="Arial"/>
          <w:sz w:val="24"/>
          <w:szCs w:val="24"/>
        </w:rPr>
        <w:t xml:space="preserve">IV. The Aggressor Protection and Registry Committee.</w:t>
      </w:r>
    </w:p>
    <w:p>
      <w:pPr>
        <w:spacing w:before="240" w:after="60"/>
      </w:pPr>
      <w:r>
        <w:rPr>
          <w:rFonts w:ascii="Arial" w:cs="Arial" w:eastAsia="Arial" w:hAnsi="Arial"/>
          <w:b/>
          <w:bCs/>
          <w:sz w:val="24"/>
          <w:szCs w:val="24"/>
        </w:rPr>
        <w:t xml:space="preserve">ARTICLE 55 — Access to Justice Actions.</w:t>
      </w:r>
    </w:p>
    <w:p>
      <w:pPr>
        <w:spacing w:before="0" w:after="160"/>
      </w:pPr>
      <w:r>
        <w:rPr>
          <w:rFonts w:ascii="Arial" w:cs="Arial" w:eastAsia="Arial" w:hAnsi="Arial"/>
          <w:sz w:val="24"/>
          <w:szCs w:val="24"/>
        </w:rPr>
        <w:t xml:space="preserve">Access to justice actions include:</w:t>
      </w:r>
    </w:p>
    <w:p>
      <w:pPr>
        <w:spacing w:before="40" w:after="40"/>
        <w:ind w:left="720"/>
      </w:pPr>
      <w:r>
        <w:rPr>
          <w:rFonts w:ascii="Arial" w:cs="Arial" w:eastAsia="Arial" w:hAnsi="Arial"/>
          <w:sz w:val="24"/>
          <w:szCs w:val="24"/>
        </w:rPr>
        <w:t xml:space="preserve">I. Promptly and effectively implementing protective measures for women who are victims of violence or at risk of violence, to safeguard their physical and psychological integrity as well as their property, taking into account their conditions of vulnerability. For cases involving the risk of sexual violence, this includes maintaining an up-to-date Registry of aggressors.</w:t>
      </w:r>
    </w:p>
    <w:p>
      <w:pPr>
        <w:spacing w:before="40" w:after="40"/>
        <w:ind w:left="720"/>
      </w:pPr>
      <w:r>
        <w:rPr>
          <w:rFonts w:ascii="Arial" w:cs="Arial" w:eastAsia="Arial" w:hAnsi="Arial"/>
          <w:sz w:val="24"/>
          <w:szCs w:val="24"/>
        </w:rPr>
        <w:t xml:space="preserve">II and III. [… unchanged …]</w:t>
      </w:r>
    </w:p>
    <w:p>
      <w:pPr>
        <w:spacing w:before="240" w:after="60"/>
      </w:pPr>
      <w:r>
        <w:rPr>
          <w:rFonts w:ascii="Arial" w:cs="Arial" w:eastAsia="Arial" w:hAnsi="Arial"/>
          <w:b/>
          <w:bCs/>
          <w:sz w:val="24"/>
          <w:szCs w:val="24"/>
        </w:rPr>
        <w:t xml:space="preserve">ARTICLE 57 — Legal Representation.</w:t>
      </w:r>
    </w:p>
    <w:p>
      <w:pPr>
        <w:spacing w:before="0" w:after="160"/>
      </w:pPr>
      <w:r>
        <w:rPr>
          <w:rFonts w:ascii="Arial" w:cs="Arial" w:eastAsia="Arial" w:hAnsi="Arial"/>
          <w:sz w:val="24"/>
          <w:szCs w:val="24"/>
        </w:rPr>
        <w:t xml:space="preserve">Legal representation provided to victims shall consist of specialized legal representation and advice in common jurisdiction matters — criminal, civil, family, rental, and labor — as follows:</w:t>
      </w:r>
    </w:p>
    <w:p>
      <w:pPr>
        <w:spacing w:before="40" w:after="40"/>
        <w:ind w:left="720"/>
      </w:pPr>
      <w:r>
        <w:rPr>
          <w:rFonts w:ascii="Arial" w:cs="Arial" w:eastAsia="Arial" w:hAnsi="Arial"/>
          <w:sz w:val="24"/>
          <w:szCs w:val="24"/>
        </w:rPr>
        <w:t xml:space="preserve">I. In criminal matters, through a legal advisor assigned by the victim assistance agency.</w:t>
      </w:r>
    </w:p>
    <w:p>
      <w:pPr>
        <w:spacing w:before="40" w:after="40"/>
        <w:ind w:left="720"/>
      </w:pPr>
      <w:r>
        <w:rPr>
          <w:rFonts w:ascii="Arial" w:cs="Arial" w:eastAsia="Arial" w:hAnsi="Arial"/>
          <w:sz w:val="24"/>
          <w:szCs w:val="24"/>
        </w:rPr>
        <w:t xml:space="preserve">II through IV. [… unchanged …]</w:t>
      </w:r>
    </w:p>
    <w:p>
      <w:pPr>
        <w:spacing w:before="240" w:after="60"/>
      </w:pPr>
      <w:r>
        <w:rPr>
          <w:rFonts w:ascii="Arial" w:cs="Arial" w:eastAsia="Arial" w:hAnsi="Arial"/>
          <w:b/>
          <w:bCs/>
          <w:sz w:val="24"/>
          <w:szCs w:val="24"/>
        </w:rPr>
        <w:t xml:space="preserve">ARTICLE 58 — Prosecutor’s Office (Gender Perspective).</w:t>
      </w:r>
    </w:p>
    <w:p>
      <w:pPr>
        <w:spacing w:before="0" w:after="160"/>
      </w:pPr>
      <w:r>
        <w:rPr>
          <w:rFonts w:ascii="Arial" w:cs="Arial" w:eastAsia="Arial" w:hAnsi="Arial"/>
          <w:sz w:val="24"/>
          <w:szCs w:val="24"/>
        </w:rPr>
        <w:t xml:space="preserve">The Prosecutor’s Office shall, from a gender perspective:</w:t>
      </w:r>
    </w:p>
    <w:p>
      <w:pPr>
        <w:spacing w:before="40" w:after="40"/>
        <w:ind w:left="720"/>
      </w:pPr>
      <w:r>
        <w:rPr>
          <w:rFonts w:ascii="Arial" w:cs="Arial" w:eastAsia="Arial" w:hAnsi="Arial"/>
          <w:sz w:val="24"/>
          <w:szCs w:val="24"/>
        </w:rPr>
        <w:t xml:space="preserve">I. Ensure that women victims of violence receive legal representation in criminal matters through legal advisors.</w:t>
      </w:r>
    </w:p>
    <w:p>
      <w:pPr>
        <w:spacing w:before="40" w:after="40"/>
        <w:ind w:left="720"/>
      </w:pPr>
      <w:r>
        <w:rPr>
          <w:rFonts w:ascii="Arial" w:cs="Arial" w:eastAsia="Arial" w:hAnsi="Arial"/>
          <w:sz w:val="24"/>
          <w:szCs w:val="24"/>
        </w:rPr>
        <w:t xml:space="preserve">II through VIII. [… unchanged …]</w:t>
      </w:r>
    </w:p>
    <w:p>
      <w:pPr>
        <w:spacing w:before="240" w:after="60"/>
      </w:pPr>
      <w:r>
        <w:rPr>
          <w:rFonts w:ascii="Arial" w:cs="Arial" w:eastAsia="Arial" w:hAnsi="Arial"/>
          <w:b/>
          <w:bCs/>
          <w:sz w:val="24"/>
          <w:szCs w:val="24"/>
        </w:rPr>
        <w:t xml:space="preserve">ARTICLE 59 — Secretariat of Public Safety (Gender Perspective).</w:t>
      </w:r>
    </w:p>
    <w:p>
      <w:pPr>
        <w:spacing w:before="0" w:after="160"/>
      </w:pPr>
      <w:r>
        <w:rPr>
          <w:rFonts w:ascii="Arial" w:cs="Arial" w:eastAsia="Arial" w:hAnsi="Arial"/>
          <w:sz w:val="24"/>
          <w:szCs w:val="24"/>
        </w:rPr>
        <w:t xml:space="preserve">The Secretariat of Public Safety shall, from a gender perspective:</w:t>
      </w:r>
    </w:p>
    <w:p>
      <w:pPr>
        <w:spacing w:before="40" w:after="40"/>
        <w:ind w:left="720"/>
      </w:pPr>
      <w:r>
        <w:rPr>
          <w:rFonts w:ascii="Arial" w:cs="Arial" w:eastAsia="Arial" w:hAnsi="Arial"/>
          <w:sz w:val="24"/>
          <w:szCs w:val="24"/>
        </w:rPr>
        <w:t xml:space="preserve">I. Form a specialized police unit to attend to and protect victims of violence, and provide the protective measures and Registry monitoring established by this Law.</w:t>
      </w:r>
    </w:p>
    <w:p>
      <w:pPr>
        <w:spacing w:before="40" w:after="40"/>
        <w:ind w:left="720"/>
      </w:pPr>
      <w:r>
        <w:rPr>
          <w:rFonts w:ascii="Arial" w:cs="Arial" w:eastAsia="Arial" w:hAnsi="Arial"/>
          <w:sz w:val="24"/>
          <w:szCs w:val="24"/>
        </w:rPr>
        <w:t xml:space="preserve">II and III. [… unchanged …]</w:t>
      </w:r>
    </w:p>
    <w:p>
      <w:pPr>
        <w:spacing w:before="240" w:after="60"/>
      </w:pPr>
      <w:r>
        <w:rPr>
          <w:rFonts w:ascii="Arial" w:cs="Arial" w:eastAsia="Arial" w:hAnsi="Arial"/>
          <w:b/>
          <w:bCs/>
          <w:sz w:val="24"/>
          <w:szCs w:val="24"/>
        </w:rPr>
        <w:t xml:space="preserve">ARTICLE 60 BIS — Functions of the Penitentiary System Undersecretariat.</w:t>
      </w:r>
    </w:p>
    <w:p>
      <w:pPr>
        <w:spacing w:before="40" w:after="40"/>
        <w:ind w:left="720"/>
      </w:pPr>
      <w:r>
        <w:rPr>
          <w:rFonts w:ascii="Arial" w:cs="Arial" w:eastAsia="Arial" w:hAnsi="Arial"/>
          <w:sz w:val="24"/>
          <w:szCs w:val="24"/>
        </w:rPr>
        <w:t xml:space="preserve">I. Organize, administer, update, and safeguard information contained in the Registry pursuant to applicable laws, guidelines, and protocols for the receipt, processing, consultation, and security of information issued for that purpose.</w:t>
      </w:r>
    </w:p>
    <w:p>
      <w:pPr>
        <w:spacing w:before="40" w:after="40"/>
        <w:ind w:left="720"/>
      </w:pPr>
      <w:r>
        <w:rPr>
          <w:rFonts w:ascii="Arial" w:cs="Arial" w:eastAsia="Arial" w:hAnsi="Arial"/>
          <w:sz w:val="24"/>
          <w:szCs w:val="24"/>
        </w:rPr>
        <w:t xml:space="preserve">II. Conduct studies, research, and statistics using Registry data, respecting personal data protection rules under applicable regulations, for the development of public policies.</w:t>
      </w:r>
    </w:p>
    <w:p>
      <w:pPr>
        <w:spacing w:before="40" w:after="40"/>
        <w:ind w:left="720"/>
      </w:pPr>
      <w:r>
        <w:rPr>
          <w:rFonts w:ascii="Arial" w:cs="Arial" w:eastAsia="Arial" w:hAnsi="Arial"/>
          <w:sz w:val="24"/>
          <w:szCs w:val="24"/>
        </w:rPr>
        <w:t xml:space="preserve">III. Receive from judicial bodies the data of sentenced persons with final judgments for registration purposes.</w:t>
      </w:r>
    </w:p>
    <w:p>
      <w:pPr>
        <w:spacing w:before="40" w:after="40"/>
        <w:ind w:left="720"/>
      </w:pPr>
      <w:r>
        <w:rPr>
          <w:rFonts w:ascii="Arial" w:cs="Arial" w:eastAsia="Arial" w:hAnsi="Arial"/>
          <w:sz w:val="24"/>
          <w:szCs w:val="24"/>
        </w:rPr>
        <w:t xml:space="preserve">IV. Adopt the measures necessary to ensure the accuracy, integrity, and accessibility of information, as well as the protection of personal data contained in the Registry, pursuant to applicable regulations and respective guidelines and protocols.</w:t>
      </w:r>
    </w:p>
    <w:p>
      <w:pPr>
        <w:spacing w:before="40" w:after="40"/>
        <w:ind w:left="720"/>
      </w:pPr>
      <w:r>
        <w:rPr>
          <w:rFonts w:ascii="Arial" w:cs="Arial" w:eastAsia="Arial" w:hAnsi="Arial"/>
          <w:sz w:val="24"/>
          <w:szCs w:val="24"/>
        </w:rPr>
        <w:t xml:space="preserve">V. Provide information on sexual aggressors to competent local authorities in accordance with applicable regulations.</w:t>
      </w:r>
    </w:p>
    <w:p>
      <w:pPr>
        <w:spacing w:before="40" w:after="40"/>
        <w:ind w:left="720"/>
      </w:pPr>
      <w:r>
        <w:rPr>
          <w:rFonts w:ascii="Arial" w:cs="Arial" w:eastAsia="Arial" w:hAnsi="Arial"/>
          <w:sz w:val="24"/>
          <w:szCs w:val="24"/>
        </w:rPr>
        <w:t xml:space="preserve">VI. Monitor the proper use of information contained in the Registry and, where applicable, sanction or refer to the competent authority any improper use of such information.</w:t>
      </w:r>
    </w:p>
    <w:p>
      <w:pPr>
        <w:spacing w:before="40" w:after="40"/>
        <w:ind w:left="720"/>
      </w:pPr>
      <w:r>
        <w:rPr>
          <w:rFonts w:ascii="Arial" w:cs="Arial" w:eastAsia="Arial" w:hAnsi="Arial"/>
          <w:sz w:val="24"/>
          <w:szCs w:val="24"/>
        </w:rPr>
        <w:t xml:space="preserve">VII. Any other responsibilities provided by other legal provisions.</w:t>
      </w:r>
    </w:p>
    <w:p>
      <w:pPr>
        <w:spacing w:before="240" w:after="60"/>
      </w:pPr>
      <w:r>
        <w:rPr>
          <w:rFonts w:ascii="Arial" w:cs="Arial" w:eastAsia="Arial" w:hAnsi="Arial"/>
          <w:b/>
          <w:bCs/>
          <w:sz w:val="24"/>
          <w:szCs w:val="24"/>
        </w:rPr>
        <w:t xml:space="preserve">ARTICLE 63 — Protective Orders.</w:t>
      </w:r>
    </w:p>
    <w:p>
      <w:pPr>
        <w:spacing w:before="0" w:after="160"/>
      </w:pPr>
      <w:r>
        <w:rPr>
          <w:rFonts w:ascii="Arial" w:cs="Arial" w:eastAsia="Arial" w:hAnsi="Arial"/>
          <w:sz w:val="24"/>
          <w:szCs w:val="24"/>
        </w:rPr>
        <w:t xml:space="preserve">Protective or restraining orders in criminal matters are personal and non-transferable and may include:</w:t>
      </w:r>
    </w:p>
    <w:p>
      <w:pPr>
        <w:spacing w:before="40" w:after="40"/>
        <w:ind w:left="720"/>
      </w:pPr>
      <w:r>
        <w:rPr>
          <w:rFonts w:ascii="Arial" w:cs="Arial" w:eastAsia="Arial" w:hAnsi="Arial"/>
          <w:sz w:val="24"/>
          <w:szCs w:val="24"/>
        </w:rPr>
        <w:t xml:space="preserve">I through VI. [… unchanged …]</w:t>
      </w:r>
    </w:p>
    <w:p>
      <w:pPr>
        <w:spacing w:before="40" w:after="40"/>
        <w:ind w:left="720"/>
      </w:pPr>
      <w:r>
        <w:rPr>
          <w:rFonts w:ascii="Arial" w:cs="Arial" w:eastAsia="Arial" w:hAnsi="Arial"/>
          <w:sz w:val="24"/>
          <w:szCs w:val="24"/>
        </w:rPr>
        <w:t xml:space="preserve">VII. Personal or home-based custody for victims, carried out by police units assigned to the Prosecutor’s Office or the Secretariat of Public Safety, as applicable, based on the availability of personnel.</w:t>
      </w:r>
    </w:p>
    <w:p>
      <w:pPr>
        <w:spacing w:before="40" w:after="40"/>
        <w:ind w:left="720"/>
      </w:pPr>
      <w:r>
        <w:rPr>
          <w:rFonts w:ascii="Arial" w:cs="Arial" w:eastAsia="Arial" w:hAnsi="Arial"/>
          <w:sz w:val="24"/>
          <w:szCs w:val="24"/>
        </w:rPr>
        <w:t xml:space="preserve">VIII through X. [… unchanged …]</w:t>
      </w:r>
    </w:p>
    <w:p>
      <w:pPr>
        <w:spacing w:before="40" w:after="40"/>
        <w:ind w:left="720"/>
      </w:pPr>
      <w:r>
        <w:rPr>
          <w:rFonts w:ascii="Arial" w:cs="Arial" w:eastAsia="Arial" w:hAnsi="Arial"/>
          <w:sz w:val="24"/>
          <w:szCs w:val="24"/>
        </w:rPr>
        <w:t xml:space="preserve">XI. Order the aggressor to surrender the passports of their children under 18 years of age for safekeeping, until a family court determines custody or visitation arrangements.</w:t>
      </w:r>
    </w:p>
    <w:p>
      <w:pPr>
        <w:spacing w:before="40" w:after="40"/>
        <w:ind w:left="720"/>
      </w:pPr>
      <w:r>
        <w:rPr>
          <w:rFonts w:ascii="Arial" w:cs="Arial" w:eastAsia="Arial" w:hAnsi="Arial"/>
          <w:sz w:val="24"/>
          <w:szCs w:val="24"/>
        </w:rPr>
        <w:t xml:space="preserve">XII. Prohibition on the aggressor from intimidating or harassing — directly, through any means, or through a third party — the woman in a situation of violence or, where applicable, her children or other indirect victims or witnesses, or any other person with whom the woman has a family, emotional, trust, or de facto relationship.</w:t>
      </w:r>
    </w:p>
    <w:p>
      <w:pPr>
        <w:spacing w:before="40" w:after="40"/>
        <w:ind w:left="720"/>
      </w:pPr>
      <w:r>
        <w:rPr>
          <w:rFonts w:ascii="Arial" w:cs="Arial" w:eastAsia="Arial" w:hAnsi="Arial"/>
          <w:sz w:val="24"/>
          <w:szCs w:val="24"/>
        </w:rPr>
        <w:t xml:space="preserve">XIII. Confidentiality of the victim’s address, workplace, profession, or any other information that would allow the aggressor or their family to locate the victim.</w:t>
      </w:r>
    </w:p>
    <w:p>
      <w:pPr>
        <w:spacing w:before="40" w:after="40"/>
        <w:ind w:left="720"/>
      </w:pPr>
      <w:r>
        <w:rPr>
          <w:rFonts w:ascii="Arial" w:cs="Arial" w:eastAsia="Arial" w:hAnsi="Arial"/>
          <w:sz w:val="24"/>
          <w:szCs w:val="24"/>
        </w:rPr>
        <w:t xml:space="preserve">XIV. Measures to prevent the capture and/or transmission by any means or information and communication technologies of images of the woman in a situation of violence that would permit identification of her or her family members. In the case of girls, there is an absolute prohibition on transmitting data and images that permit identification.</w:t>
      </w:r>
    </w:p>
    <w:p>
      <w:pPr>
        <w:spacing w:before="40" w:after="40"/>
        <w:ind w:left="720"/>
      </w:pPr>
      <w:r>
        <w:rPr>
          <w:rFonts w:ascii="Arial" w:cs="Arial" w:eastAsia="Arial" w:hAnsi="Arial"/>
          <w:sz w:val="24"/>
          <w:szCs w:val="24"/>
        </w:rPr>
        <w:t xml:space="preserve">XV. The interruption, blocking, destruction, or elimination of intimate sexual images, audio, or video of a person without their consent, from print media, social networks, digital platforms, or any device or technological medium.</w:t>
      </w:r>
    </w:p>
    <w:p>
      <w:pPr>
        <w:spacing w:before="40" w:after="40"/>
        <w:ind w:left="720"/>
      </w:pPr>
      <w:r>
        <w:rPr>
          <w:rFonts w:ascii="Arial" w:cs="Arial" w:eastAsia="Arial" w:hAnsi="Arial"/>
          <w:sz w:val="24"/>
          <w:szCs w:val="24"/>
        </w:rPr>
        <w:t xml:space="preserve">XVI. In addition to the foregoing, any and all measures necessary to safeguard the integrity, life, liberty, and safety of the woman and indirect victims in a situation of violence.</w:t>
      </w:r>
    </w:p>
    <w:p>
      <w:pPr>
        <w:pBdr>
          <w:bottom w:val="single" w:color="AAAAAA" w:sz="4"/>
        </w:pBdr>
        <w:spacing w:before="200" w:after="200"/>
      </w:pPr>
    </w:p>
    <w:p>
      <w:pPr>
        <w:spacing w:before="280" w:after="100"/>
        <w:jc w:val="center"/>
      </w:pPr>
      <w:r>
        <w:rPr>
          <w:rFonts w:ascii="Arial" w:cs="Arial" w:eastAsia="Arial" w:hAnsi="Arial"/>
          <w:b/>
          <w:bCs/>
          <w:color w:val="1F3864"/>
          <w:sz w:val="26"/>
          <w:szCs w:val="26"/>
        </w:rPr>
        <w:t xml:space="preserve">TITLE SEVEN
SOLE CHAPTER
PUBLIC REGISTRY OF SEXUAL AGGRESSORS</w:t>
      </w:r>
    </w:p>
    <w:p>
      <w:pPr>
        <w:spacing w:before="240" w:after="60"/>
      </w:pPr>
      <w:r>
        <w:rPr>
          <w:rFonts w:ascii="Arial" w:cs="Arial" w:eastAsia="Arial" w:hAnsi="Arial"/>
          <w:b/>
          <w:bCs/>
          <w:sz w:val="24"/>
          <w:szCs w:val="24"/>
        </w:rPr>
        <w:t xml:space="preserve">ARTICLE 79.</w:t>
      </w:r>
    </w:p>
    <w:p>
      <w:pPr>
        <w:spacing w:before="0" w:after="160"/>
      </w:pPr>
      <w:r>
        <w:rPr>
          <w:rFonts w:ascii="Arial" w:cs="Arial" w:eastAsia="Arial" w:hAnsi="Arial"/>
          <w:sz w:val="24"/>
          <w:szCs w:val="24"/>
        </w:rPr>
        <w:t xml:space="preserve">The Public Registry of Sexual Aggressors of Mexico City constitutes a public information system containing records of persons convicted by final judgment of a criminal court, pursuant to Articles 69 Ter and 69 Quater of the Penal Code of the Federal District.</w:t>
      </w:r>
    </w:p>
    <w:p>
      <w:pPr>
        <w:spacing w:before="0" w:after="160"/>
      </w:pPr>
      <w:r>
        <w:rPr>
          <w:rFonts w:ascii="Arial" w:cs="Arial" w:eastAsia="Arial" w:hAnsi="Arial"/>
          <w:sz w:val="24"/>
          <w:szCs w:val="24"/>
        </w:rPr>
        <w:t xml:space="preserve">Under no circumstances shall personal data of victims, or data enabling their location or identification and causing re-victimization, be included.</w:t>
      </w:r>
    </w:p>
    <w:p>
      <w:pPr>
        <w:spacing w:before="240" w:after="60"/>
      </w:pPr>
      <w:r>
        <w:rPr>
          <w:rFonts w:ascii="Arial" w:cs="Arial" w:eastAsia="Arial" w:hAnsi="Arial"/>
          <w:b/>
          <w:bCs/>
          <w:sz w:val="24"/>
          <w:szCs w:val="24"/>
        </w:rPr>
        <w:t xml:space="preserve">ARTICLE 80.</w:t>
      </w:r>
    </w:p>
    <w:p>
      <w:pPr>
        <w:spacing w:before="0" w:after="160"/>
      </w:pPr>
      <w:r>
        <w:rPr>
          <w:rFonts w:ascii="Arial" w:cs="Arial" w:eastAsia="Arial" w:hAnsi="Arial"/>
          <w:sz w:val="24"/>
          <w:szCs w:val="24"/>
        </w:rPr>
        <w:t xml:space="preserve">Registration shall only occur upon instruction from the judicial authority and the corresponding final judgment, considering the date of registration and from which point the minimum period of ten years and maximum of thirty years prescribed by applicable criminal law begins.</w:t>
      </w:r>
    </w:p>
    <w:p>
      <w:pPr>
        <w:spacing w:before="0" w:after="160"/>
      </w:pPr>
      <w:r>
        <w:rPr>
          <w:rFonts w:ascii="Arial" w:cs="Arial" w:eastAsia="Arial" w:hAnsi="Arial"/>
          <w:sz w:val="24"/>
          <w:szCs w:val="24"/>
        </w:rPr>
        <w:t xml:space="preserve">A registration entry in the Public Registry of Sexual Aggressors shall be cancelled upon expiration of the applicable term or when ordered by the competent judicial authority, stating the grounds.</w:t>
      </w:r>
    </w:p>
    <w:p>
      <w:pPr>
        <w:spacing w:before="0" w:after="160"/>
      </w:pPr>
      <w:r>
        <w:rPr>
          <w:rFonts w:ascii="Arial" w:cs="Arial" w:eastAsia="Arial" w:hAnsi="Arial"/>
          <w:sz w:val="24"/>
          <w:szCs w:val="24"/>
        </w:rPr>
        <w:t xml:space="preserve">The authority responsible for the Registry shall, under its strictest responsibility, guarantee the human rights of the registered person.</w:t>
      </w:r>
    </w:p>
    <w:p>
      <w:pPr>
        <w:spacing w:before="240" w:after="60"/>
      </w:pPr>
      <w:r>
        <w:rPr>
          <w:rFonts w:ascii="Arial" w:cs="Arial" w:eastAsia="Arial" w:hAnsi="Arial"/>
          <w:b/>
          <w:bCs/>
          <w:sz w:val="24"/>
          <w:szCs w:val="24"/>
        </w:rPr>
        <w:t xml:space="preserve">ARTICLE 81 — Characteristics and Data Protection Mechanisms.</w:t>
      </w:r>
    </w:p>
    <w:p>
      <w:pPr>
        <w:spacing w:before="0" w:after="160"/>
      </w:pPr>
      <w:r>
        <w:rPr>
          <w:rFonts w:ascii="Arial" w:cs="Arial" w:eastAsia="Arial" w:hAnsi="Arial"/>
          <w:sz w:val="24"/>
          <w:szCs w:val="24"/>
        </w:rPr>
        <w:t xml:space="preserve">The Public Registry of Sexual Aggressors shall have the following characteristics and protection and audit mechanisms to ensure that the data held therein has the quality necessary to prevent any damage, loss, alteration, destruction, or unauthorized use, access, or processing of information:</w:t>
      </w:r>
    </w:p>
    <w:p>
      <w:pPr>
        <w:spacing w:before="40" w:after="40"/>
        <w:ind w:left="720"/>
      </w:pPr>
      <w:r>
        <w:rPr>
          <w:rFonts w:ascii="Arial" w:cs="Arial" w:eastAsia="Arial" w:hAnsi="Arial"/>
          <w:sz w:val="24"/>
          <w:szCs w:val="24"/>
        </w:rPr>
        <w:t xml:space="preserve">I. Reliability;</w:t>
      </w:r>
    </w:p>
    <w:p>
      <w:pPr>
        <w:spacing w:before="40" w:after="40"/>
        <w:ind w:left="720"/>
      </w:pPr>
      <w:r>
        <w:rPr>
          <w:rFonts w:ascii="Arial" w:cs="Arial" w:eastAsia="Arial" w:hAnsi="Arial"/>
          <w:sz w:val="24"/>
          <w:szCs w:val="24"/>
        </w:rPr>
        <w:t xml:space="preserve">II. Encryption;</w:t>
      </w:r>
    </w:p>
    <w:p>
      <w:pPr>
        <w:spacing w:before="40" w:after="40"/>
        <w:ind w:left="720"/>
      </w:pPr>
      <w:r>
        <w:rPr>
          <w:rFonts w:ascii="Arial" w:cs="Arial" w:eastAsia="Arial" w:hAnsi="Arial"/>
          <w:sz w:val="24"/>
          <w:szCs w:val="24"/>
        </w:rPr>
        <w:t xml:space="preserve">III. Free of charge for use and access; and</w:t>
      </w:r>
    </w:p>
    <w:p>
      <w:pPr>
        <w:spacing w:before="40" w:after="40"/>
        <w:ind w:left="720"/>
      </w:pPr>
      <w:r>
        <w:rPr>
          <w:rFonts w:ascii="Arial" w:cs="Arial" w:eastAsia="Arial" w:hAnsi="Arial"/>
          <w:sz w:val="24"/>
          <w:szCs w:val="24"/>
        </w:rPr>
        <w:t xml:space="preserve">IV. Publicly accessible through the relevant internet portals.</w:t>
      </w:r>
    </w:p>
    <w:p>
      <w:pPr>
        <w:spacing w:before="0" w:after="160"/>
      </w:pPr>
      <w:r>
        <w:rPr>
          <w:rFonts w:ascii="Arial" w:cs="Arial" w:eastAsia="Arial" w:hAnsi="Arial"/>
          <w:sz w:val="24"/>
          <w:szCs w:val="24"/>
        </w:rPr>
        <w:t xml:space="preserve">Authorities and public servants involved in the capture, entry, transmission, receipt, management, consultation, or updating of information in the Registry shall adopt the measures necessary to keep personal data in their possession accurate, complete, correct, and up to date.</w:t>
      </w:r>
    </w:p>
    <w:p>
      <w:pPr>
        <w:spacing w:before="0" w:after="160"/>
      </w:pPr>
      <w:r>
        <w:rPr>
          <w:rFonts w:ascii="Arial" w:cs="Arial" w:eastAsia="Arial" w:hAnsi="Arial"/>
          <w:sz w:val="24"/>
          <w:szCs w:val="24"/>
        </w:rPr>
        <w:t xml:space="preserve">The Digital Public Innovation Agency shall provide technical support and advisory services on technological infrastructure, cybersecurity, and interoperability for the operation and functioning of the Registry.</w:t>
      </w:r>
    </w:p>
    <w:p>
      <w:pPr>
        <w:spacing w:before="240" w:after="60"/>
      </w:pPr>
      <w:r>
        <w:rPr>
          <w:rFonts w:ascii="Arial" w:cs="Arial" w:eastAsia="Arial" w:hAnsi="Arial"/>
          <w:b/>
          <w:bCs/>
          <w:sz w:val="24"/>
          <w:szCs w:val="24"/>
        </w:rPr>
        <w:t xml:space="preserve">ARTICLE 82 — Public Information.</w:t>
      </w:r>
    </w:p>
    <w:p>
      <w:pPr>
        <w:spacing w:before="0" w:after="160"/>
      </w:pPr>
      <w:r>
        <w:rPr>
          <w:rFonts w:ascii="Arial" w:cs="Arial" w:eastAsia="Arial" w:hAnsi="Arial"/>
          <w:sz w:val="24"/>
          <w:szCs w:val="24"/>
        </w:rPr>
        <w:t xml:space="preserve">The Registry shall contain general public-access information on finally convicted persons in criminal matters; however, consultation shall be by written request, organized by offense type, and shall include the following data:</w:t>
      </w:r>
    </w:p>
    <w:p>
      <w:pPr>
        <w:spacing w:before="40" w:after="40"/>
        <w:ind w:left="720"/>
      </w:pPr>
      <w:r>
        <w:rPr>
          <w:rFonts w:ascii="Arial" w:cs="Arial" w:eastAsia="Arial" w:hAnsi="Arial"/>
          <w:sz w:val="24"/>
          <w:szCs w:val="24"/>
        </w:rPr>
        <w:t xml:space="preserve">a)  Current photograph;</w:t>
      </w:r>
    </w:p>
    <w:p>
      <w:pPr>
        <w:spacing w:before="40" w:after="40"/>
        <w:ind w:left="720"/>
      </w:pPr>
      <w:r>
        <w:rPr>
          <w:rFonts w:ascii="Arial" w:cs="Arial" w:eastAsia="Arial" w:hAnsi="Arial"/>
          <w:sz w:val="24"/>
          <w:szCs w:val="24"/>
        </w:rPr>
        <w:t xml:space="preserve">b)  Name;</w:t>
      </w:r>
    </w:p>
    <w:p>
      <w:pPr>
        <w:spacing w:before="40" w:after="40"/>
        <w:ind w:left="720"/>
      </w:pPr>
      <w:r>
        <w:rPr>
          <w:rFonts w:ascii="Arial" w:cs="Arial" w:eastAsia="Arial" w:hAnsi="Arial"/>
          <w:sz w:val="24"/>
          <w:szCs w:val="24"/>
        </w:rPr>
        <w:t xml:space="preserve">c)  Age;</w:t>
      </w:r>
    </w:p>
    <w:p>
      <w:pPr>
        <w:spacing w:before="40" w:after="40"/>
        <w:ind w:left="720"/>
      </w:pPr>
      <w:r>
        <w:rPr>
          <w:rFonts w:ascii="Arial" w:cs="Arial" w:eastAsia="Arial" w:hAnsi="Arial"/>
          <w:sz w:val="24"/>
          <w:szCs w:val="24"/>
        </w:rPr>
        <w:t xml:space="preserve">d)  Alias;</w:t>
      </w:r>
    </w:p>
    <w:p>
      <w:pPr>
        <w:spacing w:before="40" w:after="40"/>
        <w:ind w:left="720"/>
      </w:pPr>
      <w:r>
        <w:rPr>
          <w:rFonts w:ascii="Arial" w:cs="Arial" w:eastAsia="Arial" w:hAnsi="Arial"/>
          <w:sz w:val="24"/>
          <w:szCs w:val="24"/>
        </w:rPr>
        <w:t xml:space="preserve">e)  Nationality.</w:t>
      </w:r>
    </w:p>
    <w:p>
      <w:pPr>
        <w:spacing w:before="240" w:after="60"/>
      </w:pPr>
      <w:r>
        <w:rPr>
          <w:rFonts w:ascii="Arial" w:cs="Arial" w:eastAsia="Arial" w:hAnsi="Arial"/>
          <w:b/>
          <w:bCs/>
          <w:sz w:val="24"/>
          <w:szCs w:val="24"/>
        </w:rPr>
        <w:t xml:space="preserve">ARTICLE 83 — Classified Information.</w:t>
      </w:r>
    </w:p>
    <w:p>
      <w:pPr>
        <w:spacing w:before="0" w:after="160"/>
      </w:pPr>
      <w:r>
        <w:rPr>
          <w:rFonts w:ascii="Arial" w:cs="Arial" w:eastAsia="Arial" w:hAnsi="Arial"/>
          <w:sz w:val="24"/>
          <w:szCs w:val="24"/>
        </w:rPr>
        <w:t xml:space="preserve">The Registry shall also contain classified information accessible only to heads of the Public Prosecutor’s Office, with duly stated grounds, and where applicable with authorization from the relevant control judge, as well as persons exclusively authorized by judicial authorities:</w:t>
      </w:r>
    </w:p>
    <w:p>
      <w:pPr>
        <w:spacing w:before="40" w:after="40"/>
        <w:ind w:left="720"/>
      </w:pPr>
      <w:r>
        <w:rPr>
          <w:rFonts w:ascii="Arial" w:cs="Arial" w:eastAsia="Arial" w:hAnsi="Arial"/>
          <w:sz w:val="24"/>
          <w:szCs w:val="24"/>
        </w:rPr>
        <w:t xml:space="preserve">a)  Distinguishing physical characteristics;</w:t>
      </w:r>
    </w:p>
    <w:p>
      <w:pPr>
        <w:spacing w:before="40" w:after="40"/>
        <w:ind w:left="720"/>
      </w:pPr>
      <w:r>
        <w:rPr>
          <w:rFonts w:ascii="Arial" w:cs="Arial" w:eastAsia="Arial" w:hAnsi="Arial"/>
          <w:sz w:val="24"/>
          <w:szCs w:val="24"/>
        </w:rPr>
        <w:t xml:space="preserve">b)  Criminological area of the offenses;</w:t>
      </w:r>
    </w:p>
    <w:p>
      <w:pPr>
        <w:spacing w:before="40" w:after="40"/>
        <w:ind w:left="720"/>
      </w:pPr>
      <w:r>
        <w:rPr>
          <w:rFonts w:ascii="Arial" w:cs="Arial" w:eastAsia="Arial" w:hAnsi="Arial"/>
          <w:sz w:val="24"/>
          <w:szCs w:val="24"/>
        </w:rPr>
        <w:t xml:space="preserve">c)  Modus operandi;</w:t>
      </w:r>
    </w:p>
    <w:p>
      <w:pPr>
        <w:spacing w:before="40" w:after="40"/>
        <w:ind w:left="720"/>
      </w:pPr>
      <w:r>
        <w:rPr>
          <w:rFonts w:ascii="Arial" w:cs="Arial" w:eastAsia="Arial" w:hAnsi="Arial"/>
          <w:sz w:val="24"/>
          <w:szCs w:val="24"/>
        </w:rPr>
        <w:t xml:space="preserve">d)  Identification record (fiche signalétique); and</w:t>
      </w:r>
    </w:p>
    <w:p>
      <w:pPr>
        <w:spacing w:before="40" w:after="40"/>
        <w:ind w:left="720"/>
      </w:pPr>
      <w:r>
        <w:rPr>
          <w:rFonts w:ascii="Arial" w:cs="Arial" w:eastAsia="Arial" w:hAnsi="Arial"/>
          <w:sz w:val="24"/>
          <w:szCs w:val="24"/>
        </w:rPr>
        <w:t xml:space="preserve">e)  Genetic profile.</w:t>
      </w:r>
    </w:p>
    <w:p>
      <w:pPr>
        <w:pBdr>
          <w:bottom w:val="single" w:color="AAAAAA" w:sz="4"/>
        </w:pBdr>
        <w:spacing w:before="200" w:after="200"/>
      </w:pPr>
    </w:p>
    <w:p>
      <w:pPr>
        <w:spacing w:before="280" w:after="100"/>
      </w:pPr>
      <w:r>
        <w:rPr>
          <w:rFonts w:ascii="Arial" w:cs="Arial" w:eastAsia="Arial" w:hAnsi="Arial"/>
          <w:b/>
          <w:bCs/>
          <w:sz w:val="24"/>
          <w:szCs w:val="24"/>
          <w:u w:val="single"/>
        </w:rPr>
        <w:t xml:space="preserve">THIRD.</w:t>
      </w:r>
    </w:p>
    <w:p>
      <w:pPr>
        <w:spacing w:before="0" w:after="160"/>
      </w:pPr>
      <w:r>
        <w:rPr>
          <w:rFonts w:ascii="Arial" w:cs="Arial" w:eastAsia="Arial" w:hAnsi="Arial"/>
          <w:sz w:val="24"/>
          <w:szCs w:val="24"/>
        </w:rPr>
        <w:t xml:space="preserve">The following articles of the Law on the Rights of Girls, Boys, and Adolescents of Mexico City are hereby amended: Article 4, Section V; Article 8; Article 69; and Article 81.</w:t>
      </w:r>
    </w:p>
    <w:p>
      <w:pPr>
        <w:spacing w:before="0" w:after="160"/>
      </w:pPr>
      <w:r>
        <w:rPr>
          <w:rFonts w:ascii="Arial" w:cs="Arial" w:eastAsia="Arial" w:hAnsi="Arial"/>
          <w:sz w:val="24"/>
          <w:szCs w:val="24"/>
        </w:rPr>
        <w:t xml:space="preserve">The following are hereby added: a fourth paragraph to Article 3; a second paragraph to Article 7; Sections XXI and XXII to Article 13; a second paragraph to Article 43; a fifth paragraph to Article 44; and a third paragraph to Article 46.</w:t>
      </w:r>
    </w:p>
    <w:p>
      <w:pPr>
        <w:pBdr>
          <w:bottom w:val="single" w:color="AAAAAA" w:sz="4"/>
        </w:pBdr>
        <w:spacing w:before="200" w:after="200"/>
      </w:pPr>
    </w:p>
    <w:p>
      <w:pPr>
        <w:spacing w:before="280" w:after="100"/>
        <w:jc w:val="center"/>
      </w:pPr>
      <w:r>
        <w:rPr>
          <w:rFonts w:ascii="Arial" w:cs="Arial" w:eastAsia="Arial" w:hAnsi="Arial"/>
          <w:b/>
          <w:bCs/>
          <w:color w:val="1F3864"/>
          <w:sz w:val="26"/>
          <w:szCs w:val="26"/>
        </w:rPr>
        <w:t xml:space="preserve">LAW ON THE RIGHTS OF GIRLS, BOYS, AND ADOLESCENTS OF MEXICO CITY</w:t>
      </w:r>
    </w:p>
    <w:p>
      <w:pPr>
        <w:spacing w:before="240" w:after="60"/>
      </w:pPr>
      <w:r>
        <w:rPr>
          <w:rFonts w:ascii="Arial" w:cs="Arial" w:eastAsia="Arial" w:hAnsi="Arial"/>
          <w:b/>
          <w:bCs/>
          <w:sz w:val="24"/>
          <w:szCs w:val="24"/>
        </w:rPr>
        <w:t xml:space="preserve">ARTICLE 3.</w:t>
      </w:r>
    </w:p>
    <w:p>
      <w:pPr>
        <w:spacing w:before="0" w:after="160"/>
      </w:pPr>
      <w:r>
        <w:rPr>
          <w:rFonts w:ascii="Arial" w:cs="Arial" w:eastAsia="Arial" w:hAnsi="Arial"/>
          <w:sz w:val="24"/>
          <w:szCs w:val="24"/>
        </w:rPr>
        <w:t xml:space="preserve">Public policies implemented by Mexico City authorities, within their respective jurisdictions, must guarantee the exercise, respect, protection, promotion, and reparation of the human rights of girls, boys, and adolescents, privileging their best interests.</w:t>
      </w:r>
    </w:p>
    <w:p>
      <w:pPr>
        <w:spacing w:before="0" w:after="160"/>
      </w:pPr>
      <w:r>
        <w:rPr>
          <w:rFonts w:ascii="Arial" w:cs="Arial" w:eastAsia="Arial" w:hAnsi="Arial"/>
          <w:sz w:val="24"/>
          <w:szCs w:val="24"/>
        </w:rPr>
        <w:t xml:space="preserve">Protection must guarantee the sexual safety of victims and potential victims of any type of sexual violence; accordingly, girls, boys, and adolescents shall have the right, for their safety, to know and identify persons who have been convicted of offenses related to such violence.</w:t>
      </w:r>
    </w:p>
    <w:p>
      <w:pPr>
        <w:spacing w:before="0" w:after="160"/>
      </w:pPr>
      <w:r>
        <w:rPr>
          <w:rFonts w:ascii="Arial" w:cs="Arial" w:eastAsia="Arial" w:hAnsi="Arial"/>
          <w:sz w:val="24"/>
          <w:szCs w:val="24"/>
        </w:rPr>
        <w:t xml:space="preserve">Through the adoption of structural, legal, administrative, and budgetary measures, such authorities must seek to contribute to the comprehensive development of girls, boys, and adolescents.</w:t>
      </w:r>
    </w:p>
    <w:p>
      <w:pPr>
        <w:spacing w:before="0" w:after="160"/>
      </w:pPr>
      <w:r>
        <w:rPr>
          <w:rFonts w:ascii="Arial" w:cs="Arial" w:eastAsia="Arial" w:hAnsi="Arial"/>
          <w:sz w:val="24"/>
          <w:szCs w:val="24"/>
        </w:rPr>
        <w:t xml:space="preserve">The social and private sectors shall collaborate with local authorities in fulfilling the purpose of this Law, in the design, implementation, monitoring, and evaluation of public policies.</w:t>
      </w:r>
    </w:p>
    <w:p>
      <w:pPr>
        <w:spacing w:before="240" w:after="60"/>
      </w:pPr>
      <w:r>
        <w:rPr>
          <w:rFonts w:ascii="Arial" w:cs="Arial" w:eastAsia="Arial" w:hAnsi="Arial"/>
          <w:b/>
          <w:bCs/>
          <w:sz w:val="24"/>
          <w:szCs w:val="24"/>
        </w:rPr>
        <w:t xml:space="preserve">ARTICLE 4 — Definitions.</w:t>
      </w:r>
    </w:p>
    <w:p>
      <w:pPr>
        <w:spacing w:before="0" w:after="160"/>
      </w:pPr>
      <w:r>
        <w:rPr>
          <w:rFonts w:ascii="Arial" w:cs="Arial" w:eastAsia="Arial" w:hAnsi="Arial"/>
          <w:sz w:val="24"/>
          <w:szCs w:val="24"/>
        </w:rPr>
        <w:t xml:space="preserve">For purposes of this Law:</w:t>
      </w:r>
    </w:p>
    <w:p>
      <w:pPr>
        <w:spacing w:before="40" w:after="40"/>
        <w:ind w:left="720"/>
      </w:pPr>
      <w:r>
        <w:rPr>
          <w:rFonts w:ascii="Arial" w:cs="Arial" w:eastAsia="Arial" w:hAnsi="Arial"/>
          <w:sz w:val="24"/>
          <w:szCs w:val="24"/>
        </w:rPr>
        <w:t xml:space="preserve">I through IV. [… unchanged …]</w:t>
      </w:r>
    </w:p>
    <w:p>
      <w:pPr>
        <w:spacing w:before="40" w:after="40"/>
        <w:ind w:left="720"/>
      </w:pPr>
      <w:r>
        <w:rPr>
          <w:rFonts w:ascii="Arial" w:cs="Arial" w:eastAsia="Arial" w:hAnsi="Arial"/>
          <w:sz w:val="24"/>
          <w:szCs w:val="24"/>
        </w:rPr>
        <w:t xml:space="preserve">V. Prevention Actions: Those that must be carried out by Mexico City authorities or public servants, families, and society to prevent the deterioration of living conditions of girls, boys, and adolescents, as well as situations that put their survival and development at risk — including the prevention of any form of sexual victimization by persons convicted of such criminal conduct.</w:t>
      </w:r>
    </w:p>
    <w:p>
      <w:pPr>
        <w:spacing w:before="40" w:after="40"/>
        <w:ind w:left="720"/>
      </w:pPr>
      <w:r>
        <w:rPr>
          <w:rFonts w:ascii="Arial" w:cs="Arial" w:eastAsia="Arial" w:hAnsi="Arial"/>
          <w:sz w:val="24"/>
          <w:szCs w:val="24"/>
        </w:rPr>
        <w:t xml:space="preserve">VI through XXXIX. [… unchanged …]</w:t>
      </w:r>
    </w:p>
    <w:p>
      <w:pPr>
        <w:spacing w:before="240" w:after="60"/>
      </w:pPr>
      <w:r>
        <w:rPr>
          <w:rFonts w:ascii="Arial" w:cs="Arial" w:eastAsia="Arial" w:hAnsi="Arial"/>
          <w:b/>
          <w:bCs/>
          <w:sz w:val="24"/>
          <w:szCs w:val="24"/>
        </w:rPr>
        <w:t xml:space="preserve">ARTICLE 7 — Best Interest of the Child.</w:t>
      </w:r>
    </w:p>
    <w:p>
      <w:pPr>
        <w:spacing w:before="0" w:after="160"/>
      </w:pPr>
      <w:r>
        <w:rPr>
          <w:rFonts w:ascii="Arial" w:cs="Arial" w:eastAsia="Arial" w:hAnsi="Arial"/>
          <w:sz w:val="24"/>
          <w:szCs w:val="24"/>
        </w:rPr>
        <w:t xml:space="preserve">The best interest of the girl, boy, or adolescent is a substantive right that requires a proactive, human-rights-based approach in which all persons responsible for ensuring the comprehensive physical, psychological, cultural, and spiritual well-being of girls, boys, and adolescents collaborate, and in which their human dignity is recognized.</w:t>
      </w:r>
    </w:p>
    <w:p>
      <w:pPr>
        <w:spacing w:before="0" w:after="160"/>
      </w:pPr>
      <w:r>
        <w:rPr>
          <w:rFonts w:ascii="Arial" w:cs="Arial" w:eastAsia="Arial" w:hAnsi="Arial"/>
          <w:sz w:val="24"/>
          <w:szCs w:val="24"/>
        </w:rPr>
        <w:t xml:space="preserve">This principle must also apply for the broader safety of girls, boys, and adolescents, particularly concerning sexual violence of which they may be victims or potential victims. Accordingly, a special section of the Public Registry of Sexual Aggressors provided for in Articles 69 Ter and 69 Quater of the Penal Code of the Federal District shall be established, consistent with the Law on Women’s Access to a Life Free from Violence of Mexico City.</w:t>
      </w:r>
    </w:p>
    <w:p>
      <w:pPr>
        <w:spacing w:before="240" w:after="60"/>
      </w:pPr>
      <w:r>
        <w:rPr>
          <w:rFonts w:ascii="Arial" w:cs="Arial" w:eastAsia="Arial" w:hAnsi="Arial"/>
          <w:b/>
          <w:bCs/>
          <w:sz w:val="24"/>
          <w:szCs w:val="24"/>
        </w:rPr>
        <w:t xml:space="preserve">ARTICLE 8.</w:t>
      </w:r>
    </w:p>
    <w:p>
      <w:pPr>
        <w:spacing w:before="0" w:after="160"/>
      </w:pPr>
      <w:r>
        <w:rPr>
          <w:rFonts w:ascii="Arial" w:cs="Arial" w:eastAsia="Arial" w:hAnsi="Arial"/>
          <w:sz w:val="24"/>
          <w:szCs w:val="24"/>
        </w:rPr>
        <w:t xml:space="preserve">All authorities in Mexico City shall, by the principle of the best interest of the child, prioritize in all cases the human rights of girls, boys, and adolescents over any conflicting right. This applies for the purpose of weighing such rights.</w:t>
      </w:r>
    </w:p>
    <w:p>
      <w:pPr>
        <w:spacing w:before="240" w:after="60"/>
      </w:pPr>
      <w:r>
        <w:rPr>
          <w:rFonts w:ascii="Arial" w:cs="Arial" w:eastAsia="Arial" w:hAnsi="Arial"/>
          <w:b/>
          <w:bCs/>
          <w:sz w:val="24"/>
          <w:szCs w:val="24"/>
        </w:rPr>
        <w:t xml:space="preserve">ARTICLE 13 — Rights.</w:t>
      </w:r>
    </w:p>
    <w:p>
      <w:pPr>
        <w:spacing w:before="0" w:after="160"/>
      </w:pPr>
      <w:r>
        <w:rPr>
          <w:rFonts w:ascii="Arial" w:cs="Arial" w:eastAsia="Arial" w:hAnsi="Arial"/>
          <w:sz w:val="24"/>
          <w:szCs w:val="24"/>
        </w:rPr>
        <w:t xml:space="preserve">All girls, boys, and adolescents are equal before the law and are entitled to equal and equitable treatment. In an illustrative but not exhaustive manner, in Mexico City they shall enjoy the following rights:</w:t>
      </w:r>
    </w:p>
    <w:p>
      <w:pPr>
        <w:spacing w:before="40" w:after="40"/>
        <w:ind w:left="720"/>
      </w:pPr>
      <w:r>
        <w:rPr>
          <w:rFonts w:ascii="Arial" w:cs="Arial" w:eastAsia="Arial" w:hAnsi="Arial"/>
          <w:sz w:val="24"/>
          <w:szCs w:val="24"/>
        </w:rPr>
        <w:t xml:space="preserve">I through XX. [… unchanged …]</w:t>
      </w:r>
    </w:p>
    <w:p>
      <w:pPr>
        <w:spacing w:before="40" w:after="40"/>
        <w:ind w:left="720"/>
      </w:pPr>
      <w:r>
        <w:rPr>
          <w:rFonts w:ascii="Arial" w:cs="Arial" w:eastAsia="Arial" w:hAnsi="Arial"/>
          <w:sz w:val="24"/>
          <w:szCs w:val="24"/>
        </w:rPr>
        <w:t xml:space="preserve">XXI. The right to sexual protection and safety; and</w:t>
      </w:r>
    </w:p>
    <w:p>
      <w:pPr>
        <w:spacing w:before="40" w:after="40"/>
        <w:ind w:left="720"/>
      </w:pPr>
      <w:r>
        <w:rPr>
          <w:rFonts w:ascii="Arial" w:cs="Arial" w:eastAsia="Arial" w:hAnsi="Arial"/>
          <w:sz w:val="24"/>
          <w:szCs w:val="24"/>
        </w:rPr>
        <w:t xml:space="preserve">XXII. The right to know the data of persons convicted by final judgment for offenses involving sexual violence against girls, boys, and adolescents.</w:t>
      </w:r>
    </w:p>
    <w:p>
      <w:pPr>
        <w:spacing w:before="240" w:after="60"/>
      </w:pPr>
      <w:r>
        <w:rPr>
          <w:rFonts w:ascii="Arial" w:cs="Arial" w:eastAsia="Arial" w:hAnsi="Arial"/>
          <w:b/>
          <w:bCs/>
          <w:sz w:val="24"/>
          <w:szCs w:val="24"/>
        </w:rPr>
        <w:t xml:space="preserve">ARTICLE 43.</w:t>
      </w:r>
    </w:p>
    <w:p>
      <w:pPr>
        <w:spacing w:before="0" w:after="160"/>
      </w:pPr>
      <w:r>
        <w:rPr>
          <w:rFonts w:ascii="Arial" w:cs="Arial" w:eastAsia="Arial" w:hAnsi="Arial"/>
          <w:sz w:val="24"/>
          <w:szCs w:val="24"/>
        </w:rPr>
        <w:t xml:space="preserve">Girls, boys, and adolescents have the right to live a life free from all forms of violence and to have their personal integrity protected, in order to achieve the best conditions for well-being and the free development of their personality.</w:t>
      </w:r>
    </w:p>
    <w:p>
      <w:pPr>
        <w:spacing w:before="0" w:after="160"/>
      </w:pPr>
      <w:r>
        <w:rPr>
          <w:rFonts w:ascii="Arial" w:cs="Arial" w:eastAsia="Arial" w:hAnsi="Arial"/>
          <w:sz w:val="24"/>
          <w:szCs w:val="24"/>
        </w:rPr>
        <w:t xml:space="preserve">Their sexual safety shall be guaranteed so that they are not victims or potential victims of any offense linked to various forms of sexual violence.</w:t>
      </w:r>
    </w:p>
    <w:p>
      <w:pPr>
        <w:spacing w:before="240" w:after="60"/>
      </w:pPr>
      <w:r>
        <w:rPr>
          <w:rFonts w:ascii="Arial" w:cs="Arial" w:eastAsia="Arial" w:hAnsi="Arial"/>
          <w:b/>
          <w:bCs/>
          <w:sz w:val="24"/>
          <w:szCs w:val="24"/>
        </w:rPr>
        <w:t xml:space="preserve">ARTICLE 44.</w:t>
      </w:r>
    </w:p>
    <w:p>
      <w:pPr>
        <w:spacing w:before="0" w:after="160"/>
      </w:pPr>
      <w:r>
        <w:rPr>
          <w:rFonts w:ascii="Arial" w:cs="Arial" w:eastAsia="Arial" w:hAnsi="Arial"/>
          <w:sz w:val="24"/>
          <w:szCs w:val="24"/>
        </w:rPr>
        <w:t xml:space="preserve">Authorities and political-administrative bodies, within their respective jurisdictions, are obligated to take measures necessary to prevent, address, and sanction cases in which girls, boys, or adolescents are affected by: [… Sections I through X unchanged …]</w:t>
      </w:r>
    </w:p>
    <w:p>
      <w:pPr>
        <w:spacing w:before="0" w:after="160"/>
      </w:pPr>
      <w:r>
        <w:rPr>
          <w:rFonts w:ascii="Arial" w:cs="Arial" w:eastAsia="Arial" w:hAnsi="Arial"/>
          <w:sz w:val="24"/>
          <w:szCs w:val="24"/>
        </w:rPr>
        <w:t xml:space="preserve">Competent authorities shall consider a gender perspective in situations of violence.</w:t>
      </w:r>
    </w:p>
    <w:p>
      <w:pPr>
        <w:spacing w:before="0" w:after="160"/>
      </w:pPr>
      <w:r>
        <w:rPr>
          <w:rFonts w:ascii="Arial" w:cs="Arial" w:eastAsia="Arial" w:hAnsi="Arial"/>
          <w:sz w:val="24"/>
          <w:szCs w:val="24"/>
        </w:rPr>
        <w:t xml:space="preserve">The laws of Mexico City shall establish provisions guiding prevention, protection, attention, sanctioning, and eradication policies for the situations referred to in the foregoing sections.</w:t>
      </w:r>
    </w:p>
    <w:p>
      <w:pPr>
        <w:spacing w:before="0" w:after="160"/>
      </w:pPr>
      <w:r>
        <w:rPr>
          <w:rFonts w:ascii="Arial" w:cs="Arial" w:eastAsia="Arial" w:hAnsi="Arial"/>
          <w:sz w:val="24"/>
          <w:szCs w:val="24"/>
        </w:rPr>
        <w:t xml:space="preserve">To this end, the Public Registry of Sexual Aggressors shall register persons convicted by final judgment for offenses set forth in criminal legislation committed against girls, boys, and adolescents, where the judicial authority has determined their registration in said Registry.</w:t>
      </w:r>
    </w:p>
    <w:p>
      <w:pPr>
        <w:spacing w:before="0" w:after="160"/>
      </w:pPr>
      <w:r>
        <w:rPr>
          <w:rFonts w:ascii="Arial" w:cs="Arial" w:eastAsia="Arial" w:hAnsi="Arial"/>
          <w:sz w:val="24"/>
          <w:szCs w:val="24"/>
        </w:rPr>
        <w:t xml:space="preserve">Competent authorities are obligated to implement special protective measures to prevent, sanction, and repair the conduct described in this article with respect to girls, boys, and adolescents with disabilities.</w:t>
      </w:r>
    </w:p>
    <w:p>
      <w:pPr>
        <w:spacing w:before="240" w:after="60"/>
      </w:pPr>
      <w:r>
        <w:rPr>
          <w:rFonts w:ascii="Arial" w:cs="Arial" w:eastAsia="Arial" w:hAnsi="Arial"/>
          <w:b/>
          <w:bCs/>
          <w:sz w:val="24"/>
          <w:szCs w:val="24"/>
        </w:rPr>
        <w:t xml:space="preserve">ARTICLE 46 (partial).</w:t>
      </w:r>
    </w:p>
    <w:p>
      <w:pPr>
        <w:spacing w:before="0" w:after="160"/>
      </w:pPr>
      <w:r>
        <w:rPr>
          <w:rFonts w:ascii="Arial" w:cs="Arial" w:eastAsia="Arial" w:hAnsi="Arial"/>
          <w:sz w:val="24"/>
          <w:szCs w:val="24"/>
        </w:rPr>
        <w:t xml:space="preserve">[… prior paragraphs unchanged …]</w:t>
      </w:r>
    </w:p>
    <w:p>
      <w:pPr>
        <w:spacing w:before="0" w:after="160"/>
      </w:pPr>
      <w:r>
        <w:rPr>
          <w:rFonts w:ascii="Arial" w:cs="Arial" w:eastAsia="Arial" w:hAnsi="Arial"/>
          <w:sz w:val="24"/>
          <w:szCs w:val="24"/>
        </w:rPr>
        <w:t xml:space="preserve">For compliance with the preceding paragraph, the Protection System referred to in this Law shall coordinate with the Local or Federal Victim Assistance System, as applicable, which shall proceed pursuant to applicable legislation.</w:t>
      </w:r>
    </w:p>
    <w:p>
      <w:pPr>
        <w:spacing w:before="0" w:after="160"/>
      </w:pPr>
      <w:r>
        <w:rPr>
          <w:rFonts w:ascii="Arial" w:cs="Arial" w:eastAsia="Arial" w:hAnsi="Arial"/>
          <w:sz w:val="24"/>
          <w:szCs w:val="24"/>
        </w:rPr>
        <w:t xml:space="preserve">Timely verification shall be made that for persons convicted as described in criminal legislation for offenses related to sexual violence, the criminal judge orders their registration in the Public Registry of Sexual Aggressors in the respective judgment.</w:t>
      </w:r>
    </w:p>
    <w:p>
      <w:pPr>
        <w:spacing w:before="240" w:after="60"/>
      </w:pPr>
      <w:r>
        <w:rPr>
          <w:rFonts w:ascii="Arial" w:cs="Arial" w:eastAsia="Arial" w:hAnsi="Arial"/>
          <w:b/>
          <w:bCs/>
          <w:sz w:val="24"/>
          <w:szCs w:val="24"/>
        </w:rPr>
        <w:t xml:space="preserve">ARTICLE 69 — Right to Information.</w:t>
      </w:r>
    </w:p>
    <w:p>
      <w:pPr>
        <w:spacing w:before="0" w:after="160"/>
      </w:pPr>
      <w:r>
        <w:rPr>
          <w:rFonts w:ascii="Arial" w:cs="Arial" w:eastAsia="Arial" w:hAnsi="Arial"/>
          <w:sz w:val="24"/>
          <w:szCs w:val="24"/>
        </w:rPr>
        <w:t xml:space="preserve">Girls, boys, and adolescents have the right to free access to information. Authorities and political-administrative bodies, within their respective jurisdictions, shall promote the dissemination of information and materials intended to ensure their social and ethical well-being and cultural development, physical and mental health, including a gender perspective and non-sexist language — and including appropriate access to the Public Registry of Sexual Aggressors in its various sections.</w:t>
      </w:r>
    </w:p>
    <w:p>
      <w:pPr>
        <w:spacing w:before="0" w:after="160"/>
      </w:pPr>
      <w:r>
        <w:rPr>
          <w:rFonts w:ascii="Arial" w:cs="Arial" w:eastAsia="Arial" w:hAnsi="Arial"/>
          <w:sz w:val="24"/>
          <w:szCs w:val="24"/>
        </w:rPr>
        <w:t xml:space="preserve">The Protection System shall establish general guidelines on the content of information and materials for dissemination to girls, boys, and adolescents, in accordance with this Law.</w:t>
      </w:r>
    </w:p>
    <w:p>
      <w:pPr>
        <w:spacing w:before="240" w:after="60"/>
      </w:pPr>
      <w:r>
        <w:rPr>
          <w:rFonts w:ascii="Arial" w:cs="Arial" w:eastAsia="Arial" w:hAnsi="Arial"/>
          <w:b/>
          <w:bCs/>
          <w:sz w:val="24"/>
          <w:szCs w:val="24"/>
        </w:rPr>
        <w:t xml:space="preserve">ARTICLE 81.</w:t>
      </w:r>
    </w:p>
    <w:p>
      <w:pPr>
        <w:spacing w:before="0" w:after="160"/>
      </w:pPr>
      <w:r>
        <w:rPr>
          <w:rFonts w:ascii="Arial" w:cs="Arial" w:eastAsia="Arial" w:hAnsi="Arial"/>
          <w:sz w:val="24"/>
          <w:szCs w:val="24"/>
        </w:rPr>
        <w:t xml:space="preserve">Authorities and political-administrative bodies, within their respective jurisdictions, shall guarantee the protection of the identity and privacy of girls, boys, and adolescents who are victims, complainants, witnesses, or otherwise related to the commission of an offense, in order to prevent their public identification. Accordingly, no data permitting the location or identification of victims of offenses related to sexual violence shall be included in the Public Registry of Sexual Aggressors.</w:t>
      </w:r>
    </w:p>
    <w:p>
      <w:pPr>
        <w:pBdr>
          <w:bottom w:val="single" w:color="AAAAAA" w:sz="4"/>
        </w:pBdr>
        <w:spacing w:before="200" w:after="200"/>
      </w:pPr>
    </w:p>
    <w:p>
      <w:pPr>
        <w:spacing w:before="280" w:after="100"/>
        <w:jc w:val="center"/>
      </w:pPr>
      <w:r>
        <w:rPr>
          <w:rFonts w:ascii="Arial" w:cs="Arial" w:eastAsia="Arial" w:hAnsi="Arial"/>
          <w:b/>
          <w:bCs/>
          <w:color w:val="1F3864"/>
          <w:sz w:val="26"/>
          <w:szCs w:val="26"/>
        </w:rPr>
        <w:t xml:space="preserve">TRANSITIONAL PROVISIONS</w:t>
      </w:r>
    </w:p>
    <w:p>
      <w:pPr>
        <w:spacing w:before="200" w:after="60"/>
      </w:pPr>
      <w:r>
        <w:rPr>
          <w:rFonts w:ascii="Arial" w:cs="Arial" w:eastAsia="Arial" w:hAnsi="Arial"/>
          <w:b/>
          <w:bCs/>
          <w:sz w:val="24"/>
          <w:szCs w:val="24"/>
        </w:rPr>
        <w:t xml:space="preserve">FIRST.</w:t>
      </w:r>
    </w:p>
    <w:p>
      <w:pPr>
        <w:spacing w:before="0" w:after="160"/>
      </w:pPr>
      <w:r>
        <w:rPr>
          <w:rFonts w:ascii="Arial" w:cs="Arial" w:eastAsia="Arial" w:hAnsi="Arial"/>
          <w:sz w:val="24"/>
          <w:szCs w:val="24"/>
        </w:rPr>
        <w:t xml:space="preserve">Publish in the Official Gazette of Mexico City.</w:t>
      </w:r>
    </w:p>
    <w:p>
      <w:pPr>
        <w:spacing w:before="120" w:after="60"/>
      </w:pPr>
      <w:r>
        <w:rPr>
          <w:rFonts w:ascii="Arial" w:cs="Arial" w:eastAsia="Arial" w:hAnsi="Arial"/>
          <w:b/>
          <w:bCs/>
          <w:sz w:val="24"/>
          <w:szCs w:val="24"/>
        </w:rPr>
        <w:t xml:space="preserve">SECOND.</w:t>
      </w:r>
    </w:p>
    <w:p>
      <w:pPr>
        <w:spacing w:before="0" w:after="160"/>
      </w:pPr>
      <w:r>
        <w:rPr>
          <w:rFonts w:ascii="Arial" w:cs="Arial" w:eastAsia="Arial" w:hAnsi="Arial"/>
          <w:sz w:val="24"/>
          <w:szCs w:val="24"/>
        </w:rPr>
        <w:t xml:space="preserve">This Decree shall enter into force the day following its publication in the Official Gazette of Mexico City.</w:t>
      </w:r>
    </w:p>
    <w:p>
      <w:pPr>
        <w:spacing w:before="120" w:after="60"/>
      </w:pPr>
      <w:r>
        <w:rPr>
          <w:rFonts w:ascii="Arial" w:cs="Arial" w:eastAsia="Arial" w:hAnsi="Arial"/>
          <w:b/>
          <w:bCs/>
          <w:sz w:val="24"/>
          <w:szCs w:val="24"/>
        </w:rPr>
        <w:t xml:space="preserve">THIRD.</w:t>
      </w:r>
    </w:p>
    <w:p>
      <w:pPr>
        <w:spacing w:before="0" w:after="160"/>
      </w:pPr>
      <w:r>
        <w:rPr>
          <w:rFonts w:ascii="Arial" w:cs="Arial" w:eastAsia="Arial" w:hAnsi="Arial"/>
          <w:sz w:val="24"/>
          <w:szCs w:val="24"/>
        </w:rPr>
        <w:t xml:space="preserve">In order to comply with this Decree, the Head of Government of Mexico City shall have a period not exceeding 30 business days to harmonize the Regulations of the Law on Women’s Access to a Life Free from Violence of Mexico City with this Decree.</w:t>
      </w:r>
    </w:p>
    <w:p>
      <w:pPr>
        <w:spacing w:before="120" w:after="60"/>
      </w:pPr>
      <w:r>
        <w:rPr>
          <w:rFonts w:ascii="Arial" w:cs="Arial" w:eastAsia="Arial" w:hAnsi="Arial"/>
          <w:b/>
          <w:bCs/>
          <w:sz w:val="24"/>
          <w:szCs w:val="24"/>
        </w:rPr>
        <w:t xml:space="preserve">FOURTH.</w:t>
      </w:r>
    </w:p>
    <w:p>
      <w:pPr>
        <w:spacing w:before="0" w:after="160"/>
      </w:pPr>
      <w:r>
        <w:rPr>
          <w:rFonts w:ascii="Arial" w:cs="Arial" w:eastAsia="Arial" w:hAnsi="Arial"/>
          <w:sz w:val="24"/>
          <w:szCs w:val="24"/>
        </w:rPr>
        <w:t xml:space="preserve">The Secretariat of Government of Mexico City shall have a maximum of 90 calendar days to create the Public Registry of Sexual Aggressors of Mexico City, which shall enter into force the day following its publication in the Official Gazette of Mexico City.</w:t>
      </w:r>
    </w:p>
    <w:p>
      <w:pPr>
        <w:spacing w:before="120" w:after="60"/>
      </w:pPr>
      <w:r>
        <w:rPr>
          <w:rFonts w:ascii="Arial" w:cs="Arial" w:eastAsia="Arial" w:hAnsi="Arial"/>
          <w:b/>
          <w:bCs/>
          <w:sz w:val="24"/>
          <w:szCs w:val="24"/>
        </w:rPr>
        <w:t xml:space="preserve">FIFTH.</w:t>
      </w:r>
    </w:p>
    <w:p>
      <w:pPr>
        <w:spacing w:before="0" w:after="160"/>
      </w:pPr>
      <w:r>
        <w:rPr>
          <w:rFonts w:ascii="Arial" w:cs="Arial" w:eastAsia="Arial" w:hAnsi="Arial"/>
          <w:sz w:val="24"/>
          <w:szCs w:val="24"/>
        </w:rPr>
        <w:t xml:space="preserve">From the date this Decree enters into force, the Secretariat of Government shall include in the Registry database all persons convicted whose conviction became final after the date this Decree entered into force.</w:t>
      </w:r>
    </w:p>
    <w:p>
      <w:pPr>
        <w:spacing w:before="120" w:after="60"/>
      </w:pPr>
      <w:r>
        <w:rPr>
          <w:rFonts w:ascii="Arial" w:cs="Arial" w:eastAsia="Arial" w:hAnsi="Arial"/>
          <w:b/>
          <w:bCs/>
          <w:sz w:val="24"/>
          <w:szCs w:val="24"/>
        </w:rPr>
        <w:t xml:space="preserve">SIXTH.</w:t>
      </w:r>
    </w:p>
    <w:p>
      <w:pPr>
        <w:spacing w:before="0" w:after="160"/>
      </w:pPr>
      <w:r>
        <w:rPr>
          <w:rFonts w:ascii="Arial" w:cs="Arial" w:eastAsia="Arial" w:hAnsi="Arial"/>
          <w:sz w:val="24"/>
          <w:szCs w:val="24"/>
        </w:rPr>
        <w:t xml:space="preserve">Forward this Decree to the Head of Government of Mexico City for its legal effects.</w:t>
      </w:r>
    </w:p>
    <w:p>
      <w:pPr>
        <w:pBdr>
          <w:bottom w:val="single" w:color="AAAAAA" w:sz="4"/>
        </w:pBdr>
        <w:spacing w:before="200" w:after="200"/>
      </w:pPr>
    </w:p>
    <w:p>
      <w:pPr>
        <w:spacing w:before="0" w:after="160"/>
      </w:pPr>
      <w:r>
        <w:rPr>
          <w:rFonts w:ascii="Arial" w:cs="Arial" w:eastAsia="Arial" w:hAnsi="Arial"/>
          <w:i/>
          <w:iCs/>
          <w:sz w:val="24"/>
          <w:szCs w:val="24"/>
        </w:rPr>
        <w:t xml:space="preserve">Legislative Palace of the Congress of Mexico City, on the tenth day of the month of March of the year two thousand and twenty.</w:t>
      </w:r>
    </w:p>
    <w:p>
      <w:pPr>
        <w:spacing w:before="0" w:after="160"/>
      </w:pPr>
      <w:r>
        <w:rPr>
          <w:rFonts w:ascii="Arial" w:cs="Arial" w:eastAsia="Arial" w:hAnsi="Arial"/>
          <w:i/>
          <w:iCs/>
          <w:sz w:val="24"/>
          <w:szCs w:val="24"/>
        </w:rPr>
        <w:t xml:space="preserve">ON BEHALF OF THE PRESIDING BOARD — DEPUTY ISABELA ROSALES HERRERA, PRESIDENT — DEPUTY DONAJI OFELIA OLIVERA REYES, SECRETARY — DEPUTY MARGARITA SALDAÑA HERNÁNDEZ, SECRETARY — (Signatures)</w:t>
      </w:r>
    </w:p>
    <w:p>
      <w:pPr>
        <w:spacing w:before="160" w:after="60"/>
      </w:pPr>
    </w:p>
    <w:p>
      <w:pPr>
        <w:spacing w:before="0" w:after="160"/>
      </w:pPr>
      <w:r>
        <w:rPr>
          <w:rFonts w:ascii="Arial" w:cs="Arial" w:eastAsia="Arial" w:hAnsi="Arial"/>
          <w:i/>
          <w:iCs/>
          <w:sz w:val="24"/>
          <w:szCs w:val="24"/>
        </w:rPr>
        <w:t xml:space="preserve">By authority of Articles 122, Section A, Fraction III of the Political Constitution of the United Mexican States; 32, Section C, Numeral 1, Subsection a) of the Political Constitution of Mexico City; and Articles 2 second paragraph, 3 Sections XVII and XVIII, 7 first paragraph, 10 Section II, 12 and 21 first paragraph of the Organic Law of the Executive Branch and Public Administration of Mexico City; for its due publication and observance, I issue this Promulgatory Decree at the Official Residence of the Head of Government of Mexico City, on the nineteenth day of the month of March of the year two thousand and twenty.</w:t>
      </w:r>
    </w:p>
    <w:p>
      <w:pPr>
        <w:spacing w:before="120" w:after="40"/>
      </w:pPr>
      <w:r>
        <w:rPr>
          <w:rFonts w:ascii="Arial" w:cs="Arial" w:eastAsia="Arial" w:hAnsi="Arial"/>
          <w:b/>
          <w:bCs/>
          <w:sz w:val="24"/>
          <w:szCs w:val="24"/>
        </w:rPr>
        <w:t xml:space="preserve">HEAD OF GOVERNMENT OF MEXICO CITY — DR. CLAUDIA SHEINBAUM PARDO — [Signature]</w:t>
      </w:r>
    </w:p>
    <w:p>
      <w:pPr>
        <w:spacing w:before="40" w:after="40"/>
      </w:pPr>
      <w:r>
        <w:rPr>
          <w:rFonts w:ascii="Arial" w:cs="Arial" w:eastAsia="Arial" w:hAnsi="Arial"/>
          <w:sz w:val="24"/>
          <w:szCs w:val="24"/>
        </w:rPr>
        <w:t xml:space="preserve">SECRETARY OF GOVERNMENT — ROSA ICELA RODRÍGUEZ VELÁZQUEZ — [Signature]</w:t>
      </w:r>
    </w:p>
    <w:p>
      <w:pPr>
        <w:spacing w:before="40" w:after="80"/>
      </w:pPr>
      <w:r>
        <w:rPr>
          <w:rFonts w:ascii="Arial" w:cs="Arial" w:eastAsia="Arial" w:hAnsi="Arial"/>
          <w:sz w:val="24"/>
          <w:szCs w:val="24"/>
        </w:rPr>
        <w:t xml:space="preserve">SECRETARY OF SOCIAL INCLUSION AND WELFARE — ALMUDENA OCEJO ROJO — [Signature]</w:t>
      </w:r>
    </w:p>
    <w:p>
      <w:pPr>
        <w:pBdr>
          <w:bottom w:val="single" w:color="AAAAAA" w:sz="4"/>
        </w:pBdr>
        <w:spacing w:before="200" w:after="200"/>
      </w:pPr>
    </w:p>
    <w:p>
      <w:pPr>
        <w:spacing w:before="120" w:after="40"/>
      </w:pPr>
      <w:r>
        <w:rPr>
          <w:rFonts w:ascii="Arial" w:cs="Arial" w:eastAsia="Arial" w:hAnsi="Arial"/>
          <w:b/>
          <w:bCs/>
          <w:i/>
          <w:iCs/>
          <w:color w:val="777777"/>
          <w:sz w:val="20"/>
          <w:szCs w:val="20"/>
        </w:rPr>
        <w:t xml:space="preserve">Translator’s Note</w:t>
      </w:r>
    </w:p>
    <w:p>
      <w:pPr>
        <w:spacing w:before="0" w:after="0"/>
      </w:pPr>
      <w:r>
        <w:rPr>
          <w:rFonts w:ascii="Arial" w:cs="Arial" w:eastAsia="Arial" w:hAnsi="Arial"/>
          <w:i/>
          <w:iCs/>
          <w:color w:val="777777"/>
          <w:sz w:val="20"/>
          <w:szCs w:val="20"/>
        </w:rPr>
        <w:t xml:space="preserve">This is an English translation of pages 3–13 of Official Gazette of Mexico City No. 307 Bis, dated March 20, 2020. The document contains Decree 1 of 3 published in that issue. Provisions marked [… unchanged …] replicate the existing text of the amended law without substantive change; only the new or amended language is fully translated. The original Spanish text is the authoritative legal version. Translation prepared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2026-03-20T15:25:22.313Z</dcterms:created>
  <dcterms:modified xsi:type="dcterms:W3CDTF">2026-03-20T15:25:22.314Z</dcterms:modified>
</cp:coreProperties>
</file>

<file path=docProps/custom.xml><?xml version="1.0" encoding="utf-8"?>
<Properties xmlns="http://schemas.openxmlformats.org/officeDocument/2006/custom-properties" xmlns:vt="http://schemas.openxmlformats.org/officeDocument/2006/docPropsVTypes"/>
</file>