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680"/>
        <w:jc w:val="center"/>
      </w:pPr>
      <w:r>
        <w:rPr>
          <w:b/>
          <w:i w:val="0"/>
          <w:color w:val="15578F"/>
          <w:sz w:val="46"/>
        </w:rPr>
        <w:t>CAHIER DES CHARGES PROCONCEPT</w:t>
      </w:r>
    </w:p>
    <w:p>
      <w:pPr>
        <w:spacing w:after="200" w:before="0"/>
        <w:jc w:val="center"/>
      </w:pPr>
      <w:r>
        <w:rPr>
          <w:b/>
          <w:i w:val="0"/>
          <w:color w:val="202020"/>
          <w:sz w:val="30"/>
        </w:rPr>
        <w:t>Import des commandes clients (CCI) dans ProConcept</w:t>
      </w:r>
    </w:p>
    <w:p>
      <w:pPr>
        <w:spacing w:after="320" w:before="0"/>
        <w:jc w:val="center"/>
      </w:pPr>
      <w:r>
        <w:rPr>
          <w:b w:val="0"/>
          <w:i/>
          <w:color w:val="595959"/>
          <w:sz w:val="23"/>
        </w:rPr>
        <w:t>Ce que nous fournissons · ce que ProConcept doit compléter · le livrable attendu de votre part</w:t>
      </w:r>
    </w:p>
    <w:tbl>
      <w:tblPr>
        <w:tblW w:type="auto" w:w="0"/>
        <w:jc w:val="center"/>
        <w:tblLook w:firstColumn="1" w:firstRow="1" w:lastColumn="0" w:lastRow="0" w:noHBand="0" w:noVBand="1" w:val="04A0"/>
      </w:tblPr>
      <w:tblGrid>
        <w:gridCol w:w="4824"/>
        <w:gridCol w:w="4824"/>
      </w:tblGrid>
      <w:tr>
        <w:tc>
          <w:tcPr>
            <w:tcW w:type="dxa" w:w="2448"/>
          </w:tcPr>
          <w:p>
            <w:r/>
            <w:r>
              <w:rPr>
                <w:b/>
                <w:color w:val="15578F"/>
                <w:sz w:val="20"/>
              </w:rPr>
              <w:t>Destinataire</w:t>
            </w:r>
          </w:p>
        </w:tc>
        <w:tc>
          <w:tcPr>
            <w:tcW w:type="dxa" w:w="6912"/>
          </w:tcPr>
          <w:p>
            <w:r/>
            <w:r>
              <w:rPr>
                <w:b w:val="0"/>
                <w:sz w:val="20"/>
              </w:rPr>
              <w:t>Responsable / intégrateur ProConcept</w:t>
            </w:r>
          </w:p>
        </w:tc>
      </w:tr>
      <w:tr>
        <w:tc>
          <w:tcPr>
            <w:tcW w:type="dxa" w:w="2448"/>
          </w:tcPr>
          <w:p>
            <w:r/>
            <w:r>
              <w:rPr>
                <w:b/>
                <w:color w:val="15578F"/>
                <w:sz w:val="20"/>
              </w:rPr>
              <w:t>Émetteur</w:t>
            </w:r>
          </w:p>
        </w:tc>
        <w:tc>
          <w:tcPr>
            <w:tcW w:type="dxa" w:w="6912"/>
          </w:tcPr>
          <w:p>
            <w:r/>
            <w:r>
              <w:rPr>
                <w:b w:val="0"/>
                <w:sz w:val="20"/>
              </w:rPr>
              <w:t>TRB Chemedica International SA — Supply Chain</w:t>
            </w:r>
          </w:p>
        </w:tc>
      </w:tr>
      <w:tr>
        <w:tc>
          <w:tcPr>
            <w:tcW w:type="dxa" w:w="2448"/>
          </w:tcPr>
          <w:p>
            <w:r/>
            <w:r>
              <w:rPr>
                <w:b/>
                <w:color w:val="15578F"/>
                <w:sz w:val="20"/>
              </w:rPr>
              <w:t>Objet</w:t>
            </w:r>
          </w:p>
        </w:tc>
        <w:tc>
          <w:tcPr>
            <w:tcW w:type="dxa" w:w="6912"/>
          </w:tcPr>
          <w:p>
            <w:r/>
            <w:r>
              <w:rPr>
                <w:b w:val="0"/>
                <w:sz w:val="20"/>
              </w:rPr>
              <w:t>Définir le format d'import permettant de créer automatiquement les CCI</w:t>
            </w:r>
          </w:p>
        </w:tc>
      </w:tr>
      <w:tr>
        <w:tc>
          <w:tcPr>
            <w:tcW w:type="dxa" w:w="2448"/>
          </w:tcPr>
          <w:p>
            <w:r/>
            <w:r>
              <w:rPr>
                <w:b/>
                <w:color w:val="15578F"/>
                <w:sz w:val="20"/>
              </w:rPr>
              <w:t>Version</w:t>
            </w:r>
          </w:p>
        </w:tc>
        <w:tc>
          <w:tcPr>
            <w:tcW w:type="dxa" w:w="6912"/>
          </w:tcPr>
          <w:p>
            <w:r/>
            <w:r>
              <w:rPr>
                <w:b w:val="0"/>
                <w:sz w:val="20"/>
              </w:rPr>
              <w:t>1.0  —  3 juillet 2026</w:t>
            </w:r>
          </w:p>
        </w:tc>
      </w:tr>
    </w:tbl>
    <w:p>
      <w:pPr>
        <w:spacing w:after="40"/>
      </w:pPr>
    </w:p>
    <w:p>
      <w:pPr>
        <w:spacing w:after="100" w:before="0"/>
      </w:pPr>
    </w:p>
    <w:tbl>
      <w:tblPr>
        <w:tblW w:type="auto" w:w="0"/>
        <w:jc w:val="center"/>
        <w:tblLook w:firstColumn="1" w:firstRow="1" w:lastColumn="0" w:lastRow="0" w:noHBand="0" w:noVBand="1" w:val="04A0"/>
        <w:tblBorders>
          <w:top w:val="single" w:sz="6" w:space="0" w:color="548235"/>
          <w:left w:val="single" w:sz="6" w:space="0" w:color="548235"/>
          <w:bottom w:val="single" w:sz="6" w:space="0" w:color="548235"/>
          <w:right w:val="single" w:sz="6" w:space="0" w:color="548235"/>
          <w:insideH w:val="single" w:sz="6" w:space="0" w:color="548235"/>
          <w:insideV w:val="single" w:sz="6" w:space="0" w:color="548235"/>
        </w:tblBorders>
      </w:tblPr>
      <w:tblGrid>
        <w:gridCol w:w="9648"/>
      </w:tblGrid>
      <w:tr>
        <w:tc>
          <w:tcPr>
            <w:tcW w:type="dxa" w:w="9648"/>
            <w:shd w:val="clear" w:color="auto" w:fill="E2EFD9"/>
          </w:tcPr>
          <w:p>
            <w:pPr>
              <w:spacing w:after="40" w:before="40"/>
            </w:pPr>
            <w:r/>
            <w:r>
              <w:rPr>
                <w:b/>
                <w:color w:val="548235"/>
              </w:rPr>
              <w:t xml:space="preserve">En une phrase :  </w:t>
            </w:r>
            <w:r>
              <w:t>À partir des quelques champs listés ci-dessous, nous voulons créer une commande client interne (CCI) dans ProConcept. Toutes les autres informations doivent être déduites automatiquement du code client (Clé 1) et du code article (SKU). Nous attendons de vous un gabarit d'import (Excel, CSV ou le format de votre choix) qui charge ces données et crée les CCI — testé et fonctionnel.</w:t>
            </w:r>
          </w:p>
        </w:tc>
      </w:tr>
    </w:tbl>
    <w:p>
      <w:pPr>
        <w:spacing w:after="40"/>
      </w:pPr>
    </w:p>
    <w:p>
      <w:pPr>
        <w:pStyle w:val="Heading1"/>
      </w:pPr>
      <w:r>
        <w:t>1. Contexte et objectif</w:t>
      </w:r>
    </w:p>
    <w:p>
      <w:pPr>
        <w:spacing w:after="100" w:before="0"/>
      </w:pPr>
      <w:r>
        <w:rPr>
          <w:b w:val="0"/>
          <w:i w:val="0"/>
        </w:rPr>
        <w:t>TRB Chemedica reçoit ses commandes clients sous des formes hétérogènes (PDF, scans, images). Un outil interne les lit automatiquement et en extrait des données propres et normalisées, déjà rapprochées de nos référentiels : le code client (« Clé 1 ») et le code article (SKU) sont résolus et validés en amont.</w:t>
      </w:r>
    </w:p>
    <w:p>
      <w:pPr>
        <w:spacing w:after="100" w:before="0"/>
      </w:pPr>
      <w:r>
        <w:rPr>
          <w:b w:val="0"/>
          <w:i w:val="0"/>
        </w:rPr>
        <w:t>Nous voulons charger ces données dans ProConcept pour créer les CCI sans ressaisie manuelle. L'objet de ce document est de définir clairement :</w:t>
      </w:r>
    </w:p>
    <w:p>
      <w:pPr>
        <w:pStyle w:val="ListBullet"/>
        <w:spacing w:after="40"/>
      </w:pPr>
      <w:r>
        <w:rPr>
          <w:b/>
        </w:rPr>
        <w:t>les données que nous vous transmettons</w:t>
      </w:r>
      <w:r>
        <w:rPr>
          <w:b w:val="0"/>
        </w:rPr>
        <w:t xml:space="preserve"> (section 2) ;</w:t>
      </w:r>
    </w:p>
    <w:p>
      <w:pPr>
        <w:pStyle w:val="ListBullet"/>
        <w:spacing w:after="40"/>
      </w:pPr>
      <w:r>
        <w:rPr>
          <w:b/>
        </w:rPr>
        <w:t>les données que ProConcept doit compléter automatiquement</w:t>
      </w:r>
      <w:r>
        <w:rPr>
          <w:b w:val="0"/>
        </w:rPr>
        <w:t xml:space="preserve"> à partir de la Clé 1 et du SKU (section 3) ;</w:t>
      </w:r>
    </w:p>
    <w:p>
      <w:pPr>
        <w:pStyle w:val="ListBullet"/>
        <w:spacing w:after="40"/>
      </w:pPr>
      <w:r>
        <w:rPr>
          <w:b/>
        </w:rPr>
        <w:t>le livrable attendu de votre part</w:t>
      </w:r>
      <w:r>
        <w:rPr>
          <w:b w:val="0"/>
        </w:rPr>
        <w:t xml:space="preserve"> : le gabarit d'import (section 4).</w:t>
      </w:r>
    </w:p>
    <w:p>
      <w:pPr>
        <w:pStyle w:val="Heading1"/>
      </w:pPr>
      <w:r>
        <w:t>2. Les données que nous fournissons</w:t>
      </w:r>
    </w:p>
    <w:p>
      <w:pPr>
        <w:spacing w:after="100" w:before="0"/>
      </w:pPr>
      <w:r>
        <w:rPr>
          <w:b w:val="0"/>
          <w:i w:val="0"/>
        </w:rPr>
        <w:t>Un fichier d'import correspond à un lot : il regroupe plusieurs commandes. Chaque commande (CCI) a un en-tête (le client et ses références) et une ou plusieurs lignes (article + quantité). Nous pouvons produire ces champs dans l'ordre, avec les intitulés et le format que vous préciserez dans votre gabarit.</w:t>
      </w:r>
    </w:p>
    <w:p>
      <w:pPr>
        <w:spacing w:after="100" w:before="80"/>
      </w:pPr>
      <w:r>
        <w:rPr>
          <w:b/>
          <w:i w:val="0"/>
          <w:color w:val="15578F"/>
        </w:rPr>
        <w:t>En-tête de commande (une fois par CCI)</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6"/>
        <w:gridCol w:w="3216"/>
        <w:gridCol w:w="3216"/>
      </w:tblGrid>
      <w:tr>
        <w:tc>
          <w:tcPr>
            <w:tcW w:type="dxa" w:w="2736"/>
            <w:shd w:val="clear" w:color="auto" w:fill="15578F"/>
          </w:tcPr>
          <w:p>
            <w:r/>
            <w:r>
              <w:rPr>
                <w:b/>
                <w:color w:val="FFFFFF"/>
              </w:rPr>
              <w:t>Champ</w:t>
            </w:r>
          </w:p>
        </w:tc>
        <w:tc>
          <w:tcPr>
            <w:tcW w:type="dxa" w:w="4320"/>
            <w:shd w:val="clear" w:color="auto" w:fill="15578F"/>
          </w:tcPr>
          <w:p>
            <w:r/>
            <w:r>
              <w:rPr>
                <w:b/>
                <w:color w:val="FFFFFF"/>
              </w:rPr>
              <w:t>Description</w:t>
            </w:r>
          </w:p>
        </w:tc>
        <w:tc>
          <w:tcPr>
            <w:tcW w:type="dxa" w:w="2592"/>
            <w:shd w:val="clear" w:color="auto" w:fill="15578F"/>
          </w:tcPr>
          <w:p>
            <w:r/>
            <w:r>
              <w:rPr>
                <w:b/>
                <w:color w:val="FFFFFF"/>
              </w:rPr>
              <w:t>Rôle</w:t>
            </w:r>
          </w:p>
        </w:tc>
      </w:tr>
      <w:tr>
        <w:tc>
          <w:tcPr>
            <w:tcW w:type="dxa" w:w="2736"/>
          </w:tcPr>
          <w:p>
            <w:r/>
            <w:r>
              <w:rPr>
                <w:b w:val="0"/>
              </w:rPr>
              <w:t>Clé 1</w:t>
            </w:r>
          </w:p>
        </w:tc>
        <w:tc>
          <w:tcPr>
            <w:tcW w:type="dxa" w:w="4320"/>
          </w:tcPr>
          <w:p>
            <w:r/>
            <w:r>
              <w:rPr>
                <w:b w:val="0"/>
              </w:rPr>
              <w:t>Code client dans ProConcept</w:t>
            </w:r>
          </w:p>
        </w:tc>
        <w:tc>
          <w:tcPr>
            <w:tcW w:type="dxa" w:w="2592"/>
          </w:tcPr>
          <w:p>
            <w:r/>
            <w:r>
              <w:rPr>
                <w:b w:val="0"/>
              </w:rPr>
              <w:t>Obligatoire — identifie le client</w:t>
            </w:r>
          </w:p>
        </w:tc>
      </w:tr>
      <w:tr>
        <w:tc>
          <w:tcPr>
            <w:tcW w:type="dxa" w:w="2736"/>
            <w:shd w:val="clear" w:color="auto" w:fill="EAF1FB"/>
          </w:tcPr>
          <w:p>
            <w:r/>
            <w:r>
              <w:rPr>
                <w:b w:val="0"/>
              </w:rPr>
              <w:t>Nom du client</w:t>
            </w:r>
          </w:p>
        </w:tc>
        <w:tc>
          <w:tcPr>
            <w:tcW w:type="dxa" w:w="4320"/>
            <w:shd w:val="clear" w:color="auto" w:fill="EAF1FB"/>
          </w:tcPr>
          <w:p>
            <w:r/>
            <w:r>
              <w:rPr>
                <w:b w:val="0"/>
              </w:rPr>
              <w:t>Nom du client (lisible)</w:t>
            </w:r>
          </w:p>
        </w:tc>
        <w:tc>
          <w:tcPr>
            <w:tcW w:type="dxa" w:w="2592"/>
            <w:shd w:val="clear" w:color="auto" w:fill="EAF1FB"/>
          </w:tcPr>
          <w:p>
            <w:r/>
            <w:r>
              <w:rPr>
                <w:b w:val="0"/>
              </w:rPr>
              <w:t>Informatif — peut être ignoré par le système</w:t>
            </w:r>
          </w:p>
        </w:tc>
      </w:tr>
      <w:tr>
        <w:tc>
          <w:tcPr>
            <w:tcW w:type="dxa" w:w="2736"/>
          </w:tcPr>
          <w:p>
            <w:r/>
            <w:r>
              <w:rPr>
                <w:b w:val="0"/>
              </w:rPr>
              <w:t>Référence partenaire</w:t>
            </w:r>
          </w:p>
        </w:tc>
        <w:tc>
          <w:tcPr>
            <w:tcW w:type="dxa" w:w="4320"/>
          </w:tcPr>
          <w:p>
            <w:r/>
            <w:r>
              <w:rPr>
                <w:b w:val="0"/>
              </w:rPr>
              <w:t>Référence de la commande côté client (n° du bon de commande)</w:t>
            </w:r>
          </w:p>
        </w:tc>
        <w:tc>
          <w:tcPr>
            <w:tcW w:type="dxa" w:w="2592"/>
          </w:tcPr>
          <w:p>
            <w:r/>
            <w:r>
              <w:rPr>
                <w:b w:val="0"/>
              </w:rPr>
              <w:t>Obligatoire — référence externe de la commande</w:t>
            </w:r>
          </w:p>
        </w:tc>
      </w:tr>
      <w:tr>
        <w:tc>
          <w:tcPr>
            <w:tcW w:type="dxa" w:w="2736"/>
            <w:shd w:val="clear" w:color="auto" w:fill="EAF1FB"/>
          </w:tcPr>
          <w:p>
            <w:r/>
            <w:r>
              <w:rPr>
                <w:b w:val="0"/>
              </w:rPr>
              <w:t>Date de livraison souhaitée</w:t>
            </w:r>
          </w:p>
        </w:tc>
        <w:tc>
          <w:tcPr>
            <w:tcW w:type="dxa" w:w="4320"/>
            <w:shd w:val="clear" w:color="auto" w:fill="EAF1FB"/>
          </w:tcPr>
          <w:p>
            <w:r/>
            <w:r>
              <w:rPr>
                <w:b w:val="0"/>
              </w:rPr>
              <w:t>Date de livraison demandée</w:t>
            </w:r>
          </w:p>
        </w:tc>
        <w:tc>
          <w:tcPr>
            <w:tcW w:type="dxa" w:w="2592"/>
            <w:shd w:val="clear" w:color="auto" w:fill="EAF1FB"/>
          </w:tcPr>
          <w:p>
            <w:r/>
            <w:r>
              <w:rPr>
                <w:b w:val="0"/>
              </w:rPr>
              <w:t>Obligatoire</w:t>
            </w:r>
          </w:p>
        </w:tc>
      </w:tr>
    </w:tbl>
    <w:p>
      <w:pPr>
        <w:spacing w:after="40"/>
      </w:pPr>
    </w:p>
    <w:p>
      <w:pPr>
        <w:spacing w:after="100" w:before="80"/>
      </w:pPr>
      <w:r>
        <w:rPr>
          <w:b/>
          <w:i w:val="0"/>
          <w:color w:val="15578F"/>
        </w:rPr>
        <w:t>Lignes de commande (une ou plusieurs par CCI)</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6"/>
        <w:gridCol w:w="3216"/>
        <w:gridCol w:w="3216"/>
      </w:tblGrid>
      <w:tr>
        <w:tc>
          <w:tcPr>
            <w:tcW w:type="dxa" w:w="2736"/>
            <w:shd w:val="clear" w:color="auto" w:fill="15578F"/>
          </w:tcPr>
          <w:p>
            <w:r/>
            <w:r>
              <w:rPr>
                <w:b/>
                <w:color w:val="FFFFFF"/>
              </w:rPr>
              <w:t>Champ</w:t>
            </w:r>
          </w:p>
        </w:tc>
        <w:tc>
          <w:tcPr>
            <w:tcW w:type="dxa" w:w="4320"/>
            <w:shd w:val="clear" w:color="auto" w:fill="15578F"/>
          </w:tcPr>
          <w:p>
            <w:r/>
            <w:r>
              <w:rPr>
                <w:b/>
                <w:color w:val="FFFFFF"/>
              </w:rPr>
              <w:t>Description</w:t>
            </w:r>
          </w:p>
        </w:tc>
        <w:tc>
          <w:tcPr>
            <w:tcW w:type="dxa" w:w="2592"/>
            <w:shd w:val="clear" w:color="auto" w:fill="15578F"/>
          </w:tcPr>
          <w:p>
            <w:r/>
            <w:r>
              <w:rPr>
                <w:b/>
                <w:color w:val="FFFFFF"/>
              </w:rPr>
              <w:t>Rôle</w:t>
            </w:r>
          </w:p>
        </w:tc>
      </w:tr>
      <w:tr>
        <w:tc>
          <w:tcPr>
            <w:tcW w:type="dxa" w:w="2736"/>
          </w:tcPr>
          <w:p>
            <w:r/>
            <w:r>
              <w:rPr>
                <w:b w:val="0"/>
              </w:rPr>
              <w:t>SKU</w:t>
            </w:r>
          </w:p>
        </w:tc>
        <w:tc>
          <w:tcPr>
            <w:tcW w:type="dxa" w:w="4320"/>
          </w:tcPr>
          <w:p>
            <w:r/>
            <w:r>
              <w:rPr>
                <w:b w:val="0"/>
              </w:rPr>
              <w:t>Code article TRB (4 chiffres)</w:t>
            </w:r>
          </w:p>
        </w:tc>
        <w:tc>
          <w:tcPr>
            <w:tcW w:type="dxa" w:w="2592"/>
          </w:tcPr>
          <w:p>
            <w:r/>
            <w:r>
              <w:rPr>
                <w:b w:val="0"/>
              </w:rPr>
              <w:t>Obligatoire — identifie l'article</w:t>
            </w:r>
          </w:p>
        </w:tc>
      </w:tr>
      <w:tr>
        <w:tc>
          <w:tcPr>
            <w:tcW w:type="dxa" w:w="2736"/>
            <w:shd w:val="clear" w:color="auto" w:fill="EAF1FB"/>
          </w:tcPr>
          <w:p>
            <w:r/>
            <w:r>
              <w:rPr>
                <w:b w:val="0"/>
              </w:rPr>
              <w:t>Quantité</w:t>
            </w:r>
          </w:p>
        </w:tc>
        <w:tc>
          <w:tcPr>
            <w:tcW w:type="dxa" w:w="4320"/>
            <w:shd w:val="clear" w:color="auto" w:fill="EAF1FB"/>
          </w:tcPr>
          <w:p>
            <w:r/>
            <w:r>
              <w:rPr>
                <w:b w:val="0"/>
              </w:rPr>
              <w:t>Quantité commandée</w:t>
            </w:r>
          </w:p>
        </w:tc>
        <w:tc>
          <w:tcPr>
            <w:tcW w:type="dxa" w:w="2592"/>
            <w:shd w:val="clear" w:color="auto" w:fill="EAF1FB"/>
          </w:tcPr>
          <w:p>
            <w:r/>
            <w:r>
              <w:rPr>
                <w:b w:val="0"/>
              </w:rPr>
              <w:t>Obligatoire</w:t>
            </w:r>
          </w:p>
        </w:tc>
      </w:tr>
    </w:tbl>
    <w:p>
      <w:pPr>
        <w:spacing w:after="40"/>
      </w:pPr>
    </w:p>
    <w:tbl>
      <w:tblPr>
        <w:tblW w:type="auto" w:w="0"/>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9648"/>
      </w:tblGrid>
      <w:tr>
        <w:tc>
          <w:tcPr>
            <w:tcW w:type="dxa" w:w="9648"/>
            <w:shd w:val="clear" w:color="auto" w:fill="FCE4D6"/>
          </w:tcPr>
          <w:p>
            <w:pPr>
              <w:spacing w:after="40" w:before="40"/>
            </w:pPr>
            <w:r/>
            <w:r>
              <w:rPr>
                <w:b/>
                <w:color w:val="C55A11"/>
              </w:rPr>
              <w:t xml:space="preserve">Important :  </w:t>
            </w:r>
            <w:r>
              <w:t>Un fichier d'import = un LOT de plusieurs commandes (pas un fichier par commande). Au sein du lot, les lignes d'une même commande sont regroupées par leur en-tête — nous prévoyons la clé « Clé 1 + référence partenaire ».</w:t>
            </w:r>
          </w:p>
        </w:tc>
      </w:tr>
    </w:tbl>
    <w:p>
      <w:pPr>
        <w:spacing w:after="40"/>
      </w:pPr>
    </w:p>
    <w:p>
      <w:pPr>
        <w:spacing w:after="100" w:before="0"/>
      </w:pPr>
      <w:r>
        <w:rPr>
          <w:b w:val="0"/>
          <w:i/>
          <w:color w:val="595959"/>
          <w:sz w:val="20"/>
        </w:rPr>
        <w:t>Le nom du client n'est là que pour faciliter le contrôle visuel : il peut être ignoré à l'import. Le format exact (colonnes, ordre, format de date, séparateur décimal, encodage) suivra votre gabarit — voir sections 4 et 5.</w:t>
      </w:r>
    </w:p>
    <w:p>
      <w:pPr>
        <w:pStyle w:val="Heading1"/>
      </w:pPr>
      <w:r>
        <w:t>3. Ce que ProConcept doit compléter automatiquement</w:t>
      </w:r>
    </w:p>
    <w:p>
      <w:pPr>
        <w:spacing w:after="100" w:before="0"/>
      </w:pPr>
      <w:r>
        <w:rPr>
          <w:b w:val="0"/>
          <w:i w:val="0"/>
        </w:rPr>
        <w:t>Nous ne transmettons volontairement que les champs de la section 2. Toutes les autres informations nécessaires à la commande doivent être déduites automatiquement des données déjà présentes dans ProConcept :</w:t>
      </w:r>
    </w:p>
    <w:p>
      <w:pPr>
        <w:pStyle w:val="ListBullet"/>
        <w:spacing w:after="40"/>
      </w:pPr>
      <w:r>
        <w:rPr>
          <w:b/>
        </w:rPr>
        <w:t xml:space="preserve">À partir du client (Clé 1) : </w:t>
      </w:r>
      <w:r>
        <w:rPr>
          <w:b w:val="0"/>
        </w:rPr>
        <w:t>monnaie, conditions de paiement, incoterm, adresse de livraison par défaut, mode d'expédition, régime de TVA, tarif / liste de prix applicable, langue, etc.</w:t>
      </w:r>
    </w:p>
    <w:p>
      <w:pPr>
        <w:pStyle w:val="ListBullet"/>
        <w:spacing w:after="40"/>
      </w:pPr>
      <w:r>
        <w:rPr>
          <w:b/>
        </w:rPr>
        <w:t xml:space="preserve">À partir de l'article (SKU) : </w:t>
      </w:r>
      <w:r>
        <w:rPr>
          <w:b w:val="0"/>
        </w:rPr>
        <w:t>désignation, prix unitaire (selon le tarif du client), unité de vente / conditionnement, etc.</w:t>
      </w:r>
    </w:p>
    <w:tbl>
      <w:tblPr>
        <w:tblW w:type="auto" w:w="0"/>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9648"/>
      </w:tblGrid>
      <w:tr>
        <w:tc>
          <w:tcPr>
            <w:tcW w:type="dxa" w:w="9648"/>
            <w:shd w:val="clear" w:color="auto" w:fill="FCE4D6"/>
          </w:tcPr>
          <w:p>
            <w:pPr>
              <w:spacing w:after="40" w:before="40"/>
            </w:pPr>
            <w:r/>
            <w:r>
              <w:rPr>
                <w:b/>
                <w:color w:val="C55A11"/>
              </w:rPr>
              <w:t xml:space="preserve">Répartition :  </w:t>
            </w:r>
            <w:r>
              <w:t>Principe : nous fournissons l'identité de la commande (qui, quoi, combien, quand, quelle référence) ; ProConcept fournit tout le reste à partir des fiches client et article.</w:t>
            </w:r>
          </w:p>
        </w:tc>
      </w:tr>
    </w:tbl>
    <w:p>
      <w:pPr>
        <w:spacing w:after="40"/>
      </w:pPr>
    </w:p>
    <w:p>
      <w:pPr>
        <w:pStyle w:val="Heading1"/>
      </w:pPr>
      <w:r>
        <w:t>4. Ce que nous attendons de vous (le livrable)</w:t>
      </w:r>
    </w:p>
    <w:p>
      <w:pPr>
        <w:spacing w:after="100" w:before="0"/>
      </w:pPr>
      <w:r>
        <w:rPr>
          <w:b w:val="0"/>
          <w:i w:val="0"/>
        </w:rPr>
        <w:t>Un gabarit / masque d'import — au format de votre choix (Excel, CSV, XML… tout format supporté par ProConcept) — qui nous permette de charger nos commandes et de créer les CCI. Concrètement, nous attendons :</w:t>
      </w:r>
    </w:p>
    <w:p>
      <w:pPr>
        <w:pStyle w:val="ListBullet"/>
        <w:spacing w:after="40"/>
      </w:pPr>
      <w:r>
        <w:rPr>
          <w:b/>
        </w:rPr>
        <w:t>Le gabarit lui-même</w:t>
      </w:r>
      <w:r>
        <w:rPr>
          <w:b w:val="0"/>
        </w:rPr>
        <w:t xml:space="preserve"> : colonnes attendues (intitulés exacts, ordre, champs obligatoires / optionnels).</w:t>
      </w:r>
    </w:p>
    <w:p>
      <w:pPr>
        <w:pStyle w:val="ListBullet"/>
        <w:spacing w:after="40"/>
      </w:pPr>
      <w:r>
        <w:rPr>
          <w:b/>
        </w:rPr>
        <w:t>Les règles de format</w:t>
      </w:r>
      <w:r>
        <w:rPr>
          <w:b w:val="0"/>
        </w:rPr>
        <w:t xml:space="preserve"> : format de date, séparateur décimal, encodage, séparateur CSV, etc.</w:t>
      </w:r>
    </w:p>
    <w:p>
      <w:pPr>
        <w:pStyle w:val="ListBullet"/>
        <w:spacing w:after="40"/>
      </w:pPr>
      <w:r>
        <w:rPr>
          <w:b/>
        </w:rPr>
        <w:t>La procédure de chargement</w:t>
      </w:r>
      <w:r>
        <w:rPr>
          <w:b w:val="0"/>
        </w:rPr>
        <w:t xml:space="preserve"> : comment importer le fichier dans ProConcept pour créer les CCI (fonction d'import ou étapes à suivre).</w:t>
      </w:r>
    </w:p>
    <w:p>
      <w:pPr>
        <w:pStyle w:val="ListBullet"/>
        <w:spacing w:after="40"/>
      </w:pPr>
      <w:r>
        <w:rPr>
          <w:b/>
        </w:rPr>
        <w:t>La déduction automatique</w:t>
      </w:r>
      <w:r>
        <w:rPr>
          <w:b w:val="0"/>
        </w:rPr>
        <w:t xml:space="preserve"> : confirmation que les champs de la section 3 sont bien complétés à partir de la Clé 1 et du SKU.</w:t>
      </w:r>
    </w:p>
    <w:p>
      <w:pPr>
        <w:pStyle w:val="ListBullet"/>
        <w:spacing w:after="40"/>
      </w:pPr>
      <w:r>
        <w:rPr>
          <w:b/>
        </w:rPr>
        <w:t>Un test concluant</w:t>
      </w:r>
      <w:r>
        <w:rPr>
          <w:b w:val="0"/>
        </w:rPr>
        <w:t xml:space="preserve"> : la démonstration que l'import fonctionne sur un jeu d'exemple que nous fournirons.</w:t>
      </w:r>
    </w:p>
    <w:p>
      <w:pPr>
        <w:spacing w:after="100" w:before="0"/>
      </w:pPr>
      <w:r>
        <w:rPr>
          <w:b w:val="0"/>
          <w:i/>
          <w:color w:val="595959"/>
          <w:sz w:val="20"/>
        </w:rPr>
        <w:t>Idéalement : un fichier gabarit vide, un exemple rempli, et une courte note de procédure.</w:t>
      </w:r>
    </w:p>
    <w:p>
      <w:pPr>
        <w:pStyle w:val="Heading1"/>
      </w:pPr>
      <w:r>
        <w:t>5. Points à préciser ensemble</w:t>
      </w:r>
    </w:p>
    <w:p>
      <w:pPr>
        <w:spacing w:after="100" w:before="0"/>
      </w:pPr>
      <w:r>
        <w:rPr>
          <w:b w:val="0"/>
          <w:i w:val="0"/>
        </w:rPr>
        <w:t>Quelques questions pour caler le gabarit :</w:t>
      </w:r>
    </w:p>
    <w:p>
      <w:pPr>
        <w:pStyle w:val="ListBullet"/>
        <w:spacing w:after="40"/>
      </w:pPr>
      <w:r>
        <w:rPr>
          <w:b w:val="0"/>
        </w:rPr>
        <w:t>Quels champs sont réellement obligatoires côté ProConcept pour créer une CCI ? Notre liste (section 2) est-elle suffisante, ou manque-t-il quelque chose ?</w:t>
      </w:r>
    </w:p>
    <w:p>
      <w:pPr>
        <w:pStyle w:val="ListBullet"/>
        <w:spacing w:after="40"/>
      </w:pPr>
      <w:r>
        <w:rPr>
          <w:b w:val="0"/>
        </w:rPr>
        <w:t>Un fichier contient un lot de plusieurs commandes : confirmez-vous que ProConcept sait créer plusieurs CCI depuis un seul fichier, et que le regroupement des lignes par « Clé 1 + référence partenaire » vous convient ?</w:t>
      </w:r>
    </w:p>
    <w:p>
      <w:pPr>
        <w:pStyle w:val="ListBullet"/>
        <w:spacing w:after="40"/>
      </w:pPr>
      <w:r>
        <w:rPr>
          <w:b w:val="0"/>
        </w:rPr>
        <w:t>Existe-t-il une fonction d'import standard dans ProConcept (Excel / CSV / XML), ou faut-il un développement spécifique ?</w:t>
      </w:r>
    </w:p>
    <w:p>
      <w:pPr>
        <w:pStyle w:val="ListBullet"/>
        <w:spacing w:after="40"/>
      </w:pPr>
      <w:r>
        <w:rPr>
          <w:b w:val="0"/>
        </w:rPr>
        <w:t>Quels format de date, séparateur décimal et encodage attendez-vous ?</w:t>
      </w:r>
    </w:p>
    <w:p>
      <w:pPr>
        <w:pStyle w:val="ListBullet"/>
        <w:spacing w:after="40"/>
      </w:pPr>
      <w:r>
        <w:rPr>
          <w:b w:val="0"/>
        </w:rPr>
        <w:t>Que se passe-t-il si un client (Clé 1) ou un article (SKU) n'existe pas encore dans ProConcept — rejet, ou création ?</w:t>
      </w:r>
    </w:p>
    <w:p>
      <w:pPr>
        <w:pStyle w:val="ListBullet"/>
        <w:spacing w:after="40"/>
      </w:pPr>
      <w:r>
        <w:rPr>
          <w:b w:val="0"/>
        </w:rPr>
        <w:t>Le prix unitaire doit-il venir du tarif ProConcept, ou pouvons-nous le laisser vide ?</w:t>
      </w:r>
    </w:p>
    <w:p>
      <w:pPr>
        <w:pStyle w:val="Heading1"/>
      </w:pPr>
      <w:r>
        <w:t>6. Exemple de jeu de données (illustratif)</w:t>
      </w:r>
    </w:p>
    <w:p>
      <w:pPr>
        <w:spacing w:after="100" w:before="0"/>
      </w:pPr>
      <w:r>
        <w:rPr>
          <w:b w:val="0"/>
          <w:i w:val="0"/>
        </w:rPr>
        <w:t>Un seul fichier contenant un lot de deux commandes. La mise en forme exacte (colonnes, ordre) suivra votre gabarit — cet exemple sert uniquement à illustrer le contenu.</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608"/>
        <w:gridCol w:w="1608"/>
        <w:gridCol w:w="1608"/>
        <w:gridCol w:w="1608"/>
        <w:gridCol w:w="1608"/>
        <w:gridCol w:w="1608"/>
      </w:tblGrid>
      <w:tr>
        <w:tc>
          <w:tcPr>
            <w:tcW w:type="dxa" w:w="1296"/>
            <w:shd w:val="clear" w:color="auto" w:fill="15578F"/>
          </w:tcPr>
          <w:p>
            <w:r/>
            <w:r>
              <w:rPr>
                <w:b/>
                <w:color w:val="FFFFFF"/>
              </w:rPr>
              <w:t>Clé 1</w:t>
            </w:r>
          </w:p>
        </w:tc>
        <w:tc>
          <w:tcPr>
            <w:tcW w:type="dxa" w:w="2448"/>
            <w:shd w:val="clear" w:color="auto" w:fill="15578F"/>
          </w:tcPr>
          <w:p>
            <w:r/>
            <w:r>
              <w:rPr>
                <w:b/>
                <w:color w:val="FFFFFF"/>
              </w:rPr>
              <w:t>Nom du client (ignoré)</w:t>
            </w:r>
          </w:p>
        </w:tc>
        <w:tc>
          <w:tcPr>
            <w:tcW w:type="dxa" w:w="2160"/>
            <w:shd w:val="clear" w:color="auto" w:fill="15578F"/>
          </w:tcPr>
          <w:p>
            <w:r/>
            <w:r>
              <w:rPr>
                <w:b/>
                <w:color w:val="FFFFFF"/>
              </w:rPr>
              <w:t>Référence partenaire</w:t>
            </w:r>
          </w:p>
        </w:tc>
        <w:tc>
          <w:tcPr>
            <w:tcW w:type="dxa" w:w="1872"/>
            <w:shd w:val="clear" w:color="auto" w:fill="15578F"/>
          </w:tcPr>
          <w:p>
            <w:r/>
            <w:r>
              <w:rPr>
                <w:b/>
                <w:color w:val="FFFFFF"/>
              </w:rPr>
              <w:t>Date de livraison</w:t>
            </w:r>
          </w:p>
        </w:tc>
        <w:tc>
          <w:tcPr>
            <w:tcW w:type="dxa" w:w="1008"/>
            <w:shd w:val="clear" w:color="auto" w:fill="15578F"/>
          </w:tcPr>
          <w:p>
            <w:r/>
            <w:r>
              <w:rPr>
                <w:b/>
                <w:color w:val="FFFFFF"/>
              </w:rPr>
              <w:t>SKU</w:t>
            </w:r>
          </w:p>
        </w:tc>
        <w:tc>
          <w:tcPr>
            <w:tcW w:type="dxa" w:w="1152"/>
            <w:shd w:val="clear" w:color="auto" w:fill="15578F"/>
          </w:tcPr>
          <w:p>
            <w:r/>
            <w:r>
              <w:rPr>
                <w:b/>
                <w:color w:val="FFFFFF"/>
              </w:rPr>
              <w:t>Quantité</w:t>
            </w:r>
          </w:p>
        </w:tc>
      </w:tr>
      <w:tr>
        <w:tc>
          <w:tcPr>
            <w:tcW w:type="dxa" w:w="1296"/>
          </w:tcPr>
          <w:p>
            <w:r/>
            <w:r>
              <w:rPr>
                <w:b w:val="0"/>
              </w:rPr>
              <w:t>2780008</w:t>
            </w:r>
          </w:p>
        </w:tc>
        <w:tc>
          <w:tcPr>
            <w:tcW w:type="dxa" w:w="2448"/>
          </w:tcPr>
          <w:p>
            <w:r/>
            <w:r>
              <w:rPr>
                <w:b w:val="0"/>
              </w:rPr>
              <w:t>Pharmacie Dupont</w:t>
            </w:r>
          </w:p>
        </w:tc>
        <w:tc>
          <w:tcPr>
            <w:tcW w:type="dxa" w:w="2160"/>
          </w:tcPr>
          <w:p>
            <w:r/>
            <w:r>
              <w:rPr>
                <w:b w:val="0"/>
              </w:rPr>
              <w:t>CMD-4471</w:t>
            </w:r>
          </w:p>
        </w:tc>
        <w:tc>
          <w:tcPr>
            <w:tcW w:type="dxa" w:w="1872"/>
          </w:tcPr>
          <w:p>
            <w:r/>
            <w:r>
              <w:rPr>
                <w:b w:val="0"/>
              </w:rPr>
              <w:t>15/07/2026</w:t>
            </w:r>
          </w:p>
        </w:tc>
        <w:tc>
          <w:tcPr>
            <w:tcW w:type="dxa" w:w="1008"/>
          </w:tcPr>
          <w:p>
            <w:r/>
            <w:r>
              <w:rPr>
                <w:b w:val="0"/>
              </w:rPr>
              <w:t>1311</w:t>
            </w:r>
          </w:p>
        </w:tc>
        <w:tc>
          <w:tcPr>
            <w:tcW w:type="dxa" w:w="1152"/>
          </w:tcPr>
          <w:p>
            <w:r/>
            <w:r>
              <w:rPr>
                <w:b w:val="0"/>
              </w:rPr>
              <w:t>100</w:t>
            </w:r>
          </w:p>
        </w:tc>
      </w:tr>
      <w:tr>
        <w:tc>
          <w:tcPr>
            <w:tcW w:type="dxa" w:w="1296"/>
            <w:shd w:val="clear" w:color="auto" w:fill="EAF1FB"/>
          </w:tcPr>
          <w:p>
            <w:r/>
            <w:r>
              <w:rPr>
                <w:b w:val="0"/>
              </w:rPr>
              <w:t>2780008</w:t>
            </w:r>
          </w:p>
        </w:tc>
        <w:tc>
          <w:tcPr>
            <w:tcW w:type="dxa" w:w="2448"/>
            <w:shd w:val="clear" w:color="auto" w:fill="EAF1FB"/>
          </w:tcPr>
          <w:p>
            <w:r/>
            <w:r>
              <w:rPr>
                <w:b w:val="0"/>
              </w:rPr>
              <w:t>Pharmacie Dupont</w:t>
            </w:r>
          </w:p>
        </w:tc>
        <w:tc>
          <w:tcPr>
            <w:tcW w:type="dxa" w:w="2160"/>
            <w:shd w:val="clear" w:color="auto" w:fill="EAF1FB"/>
          </w:tcPr>
          <w:p>
            <w:r/>
            <w:r>
              <w:rPr>
                <w:b w:val="0"/>
              </w:rPr>
              <w:t>CMD-4471</w:t>
            </w:r>
          </w:p>
        </w:tc>
        <w:tc>
          <w:tcPr>
            <w:tcW w:type="dxa" w:w="1872"/>
            <w:shd w:val="clear" w:color="auto" w:fill="EAF1FB"/>
          </w:tcPr>
          <w:p>
            <w:r/>
            <w:r>
              <w:rPr>
                <w:b w:val="0"/>
              </w:rPr>
              <w:t>15/07/2026</w:t>
            </w:r>
          </w:p>
        </w:tc>
        <w:tc>
          <w:tcPr>
            <w:tcW w:type="dxa" w:w="1008"/>
            <w:shd w:val="clear" w:color="auto" w:fill="EAF1FB"/>
          </w:tcPr>
          <w:p>
            <w:r/>
            <w:r>
              <w:rPr>
                <w:b w:val="0"/>
              </w:rPr>
              <w:t>1274</w:t>
            </w:r>
          </w:p>
        </w:tc>
        <w:tc>
          <w:tcPr>
            <w:tcW w:type="dxa" w:w="1152"/>
            <w:shd w:val="clear" w:color="auto" w:fill="EAF1FB"/>
          </w:tcPr>
          <w:p>
            <w:r/>
            <w:r>
              <w:rPr>
                <w:b w:val="0"/>
              </w:rPr>
              <w:t>50</w:t>
            </w:r>
          </w:p>
        </w:tc>
      </w:tr>
      <w:tr>
        <w:tc>
          <w:tcPr>
            <w:tcW w:type="dxa" w:w="1296"/>
          </w:tcPr>
          <w:p>
            <w:r/>
            <w:r>
              <w:rPr>
                <w:b w:val="0"/>
              </w:rPr>
              <w:t>2455301</w:t>
            </w:r>
          </w:p>
        </w:tc>
        <w:tc>
          <w:tcPr>
            <w:tcW w:type="dxa" w:w="2448"/>
          </w:tcPr>
          <w:p>
            <w:r/>
            <w:r>
              <w:rPr>
                <w:b w:val="0"/>
              </w:rPr>
              <w:t>Clinique du Lac</w:t>
            </w:r>
          </w:p>
        </w:tc>
        <w:tc>
          <w:tcPr>
            <w:tcW w:type="dxa" w:w="2160"/>
          </w:tcPr>
          <w:p>
            <w:r/>
            <w:r>
              <w:rPr>
                <w:b w:val="0"/>
              </w:rPr>
              <w:t>BC-2098</w:t>
            </w:r>
          </w:p>
        </w:tc>
        <w:tc>
          <w:tcPr>
            <w:tcW w:type="dxa" w:w="1872"/>
          </w:tcPr>
          <w:p>
            <w:r/>
            <w:r>
              <w:rPr>
                <w:b w:val="0"/>
              </w:rPr>
              <w:t>20/07/2026</w:t>
            </w:r>
          </w:p>
        </w:tc>
        <w:tc>
          <w:tcPr>
            <w:tcW w:type="dxa" w:w="1008"/>
          </w:tcPr>
          <w:p>
            <w:r/>
            <w:r>
              <w:rPr>
                <w:b w:val="0"/>
              </w:rPr>
              <w:t>1311</w:t>
            </w:r>
          </w:p>
        </w:tc>
        <w:tc>
          <w:tcPr>
            <w:tcW w:type="dxa" w:w="1152"/>
          </w:tcPr>
          <w:p>
            <w:r/>
            <w:r>
              <w:rPr>
                <w:b w:val="0"/>
              </w:rPr>
              <w:t>30</w:t>
            </w:r>
          </w:p>
        </w:tc>
      </w:tr>
    </w:tbl>
    <w:p>
      <w:pPr>
        <w:spacing w:after="40"/>
      </w:pPr>
    </w:p>
    <w:p>
      <w:pPr>
        <w:spacing w:after="100" w:before="0"/>
      </w:pPr>
      <w:r>
        <w:rPr>
          <w:b w:val="0"/>
          <w:i/>
          <w:color w:val="595959"/>
          <w:sz w:val="20"/>
        </w:rPr>
        <w:t>Ce fichier est un lot de deux commandes : la première (Clé 1 2780008 / réf. CMD-4471) a deux lignes, la seconde (Clé 1 2455301 / réf. BC-2098) en a une. Les lignes sont regroupées en commandes par « Clé 1 + référence partenaire » → ProConcept crée ici deux CCI.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578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57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