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2AA" w:rsidRDefault="005E11E1" w:rsidP="000C22AA">
      <w:pPr>
        <w:rPr>
          <w:lang w:val="en-US"/>
        </w:rPr>
      </w:pPr>
      <w:r>
        <w:rPr>
          <w:lang w:val="en-US"/>
        </w:rPr>
        <w:fldChar w:fldCharType="begin"/>
      </w:r>
      <w:r w:rsidR="000C22AA">
        <w:rPr>
          <w:lang w:val="en-US"/>
        </w:rPr>
        <w:instrText xml:space="preserve"> HYPERLINK "javascript:history.back(1)" </w:instrText>
      </w:r>
      <w:r>
        <w:rPr>
          <w:lang w:val="en-US"/>
        </w:rPr>
        <w:fldChar w:fldCharType="separate"/>
      </w:r>
      <w:r w:rsidR="000C22AA">
        <w:rPr>
          <w:rStyle w:val="Hyperlink"/>
          <w:rFonts w:eastAsiaTheme="minorEastAsia"/>
          <w:lang w:val="en-US"/>
        </w:rPr>
        <w:t>Back to scenario description</w:t>
      </w:r>
      <w:r>
        <w:rPr>
          <w:lang w:val="en-US"/>
        </w:rPr>
        <w:fldChar w:fldCharType="end"/>
      </w:r>
    </w:p>
    <w:p w:rsidR="00C215A5" w:rsidRDefault="00C215A5" w:rsidP="00C215A5">
      <w:pPr>
        <w:pStyle w:val="Heading1"/>
        <w:rPr>
          <w:rFonts w:eastAsia="Times New Roman"/>
          <w:lang w:val="en-US"/>
        </w:rPr>
      </w:pPr>
      <w:r>
        <w:rPr>
          <w:rFonts w:eastAsia="Times New Roman"/>
          <w:lang w:val="en-US"/>
        </w:rPr>
        <w:t>Instruction for use test scenarios</w:t>
      </w:r>
    </w:p>
    <w:p w:rsidR="00C215A5" w:rsidRDefault="00C215A5" w:rsidP="00C215A5">
      <w:pPr>
        <w:rPr>
          <w:lang w:val="en-US"/>
        </w:rPr>
      </w:pPr>
    </w:p>
    <w:p w:rsidR="00C215A5" w:rsidRDefault="00C215A5" w:rsidP="00C215A5">
      <w:pPr>
        <w:rPr>
          <w:lang w:val="en-US"/>
        </w:rPr>
      </w:pPr>
      <w:r>
        <w:rPr>
          <w:lang w:val="en-US"/>
        </w:rPr>
        <w:t xml:space="preserve">This document describes how to run test scenarios using the </w:t>
      </w:r>
      <w:proofErr w:type="spellStart"/>
      <w:r>
        <w:rPr>
          <w:lang w:val="en-US"/>
        </w:rPr>
        <w:t>DVTk</w:t>
      </w:r>
      <w:proofErr w:type="spellEnd"/>
      <w:r>
        <w:rPr>
          <w:lang w:val="en-US"/>
        </w:rPr>
        <w:t xml:space="preserve"> based IHE-RO </w:t>
      </w:r>
      <w:proofErr w:type="spellStart"/>
      <w:r>
        <w:rPr>
          <w:lang w:val="en-US"/>
        </w:rPr>
        <w:t>TestTool</w:t>
      </w:r>
      <w:proofErr w:type="spellEnd"/>
      <w:r w:rsidR="009D6984">
        <w:rPr>
          <w:lang w:val="en-US"/>
        </w:rPr>
        <w:t xml:space="preserve"> </w:t>
      </w:r>
      <w:r w:rsidR="00FD2174">
        <w:rPr>
          <w:lang w:val="en-US"/>
        </w:rPr>
        <w:t xml:space="preserve">Custom </w:t>
      </w:r>
      <w:r w:rsidR="00030AAC">
        <w:rPr>
          <w:lang w:val="en-US"/>
        </w:rPr>
        <w:t>DCOMP</w:t>
      </w:r>
      <w:r>
        <w:rPr>
          <w:lang w:val="en-US"/>
        </w:rPr>
        <w:t>.</w:t>
      </w:r>
    </w:p>
    <w:p w:rsidR="00C215A5" w:rsidRDefault="00C215A5" w:rsidP="00C215A5">
      <w:pPr>
        <w:rPr>
          <w:lang w:val="en-US"/>
        </w:rPr>
      </w:pPr>
      <w:bookmarkStart w:id="0" w:name="_GoBack"/>
      <w:bookmarkEnd w:id="0"/>
    </w:p>
    <w:p w:rsidR="00C215A5" w:rsidRDefault="00C215A5" w:rsidP="00C215A5">
      <w:pPr>
        <w:rPr>
          <w:lang w:val="en-US"/>
        </w:rPr>
      </w:pPr>
      <w:r>
        <w:rPr>
          <w:lang w:val="en-US"/>
        </w:rPr>
        <w:t>Start the IHE-RO test tool by clicking the “</w:t>
      </w:r>
      <w:proofErr w:type="spellStart"/>
      <w:r>
        <w:rPr>
          <w:lang w:val="en-US"/>
        </w:rPr>
        <w:t>Test</w:t>
      </w:r>
      <w:r w:rsidR="00030AAC">
        <w:rPr>
          <w:lang w:val="en-US"/>
        </w:rPr>
        <w:t>Tool</w:t>
      </w:r>
      <w:proofErr w:type="spellEnd"/>
      <w:r>
        <w:rPr>
          <w:lang w:val="en-US"/>
        </w:rPr>
        <w:t xml:space="preserve"> </w:t>
      </w:r>
      <w:r w:rsidR="00FD2174">
        <w:rPr>
          <w:lang w:val="en-US"/>
        </w:rPr>
        <w:t>–</w:t>
      </w:r>
      <w:r w:rsidR="00030AAC">
        <w:rPr>
          <w:lang w:val="en-US"/>
        </w:rPr>
        <w:t xml:space="preserve"> </w:t>
      </w:r>
      <w:r w:rsidR="00FD2174">
        <w:rPr>
          <w:lang w:val="en-US"/>
        </w:rPr>
        <w:t xml:space="preserve">Custom </w:t>
      </w:r>
      <w:r w:rsidR="00030AAC">
        <w:rPr>
          <w:lang w:val="en-US"/>
        </w:rPr>
        <w:t>DCOMP</w:t>
      </w:r>
      <w:r>
        <w:rPr>
          <w:lang w:val="en-US"/>
        </w:rPr>
        <w:t>” shortcut.</w:t>
      </w:r>
    </w:p>
    <w:p w:rsidR="00C215A5" w:rsidRDefault="00C215A5" w:rsidP="00C215A5">
      <w:pPr>
        <w:rPr>
          <w:lang w:val="en-US"/>
        </w:rPr>
      </w:pPr>
    </w:p>
    <w:p w:rsidR="00C215A5" w:rsidRDefault="00C215A5" w:rsidP="00C215A5">
      <w:pPr>
        <w:rPr>
          <w:lang w:val="en-US"/>
        </w:rPr>
      </w:pPr>
    </w:p>
    <w:p w:rsidR="00C215A5" w:rsidRDefault="00C215A5" w:rsidP="00C215A5">
      <w:pPr>
        <w:rPr>
          <w:rFonts w:cs="Arial"/>
          <w:b/>
          <w:bCs/>
          <w:sz w:val="26"/>
          <w:szCs w:val="26"/>
          <w:lang w:val="en-US"/>
        </w:rPr>
      </w:pPr>
      <w:r>
        <w:rPr>
          <w:rStyle w:val="Heading3Char"/>
          <w:lang w:val="en-US"/>
        </w:rPr>
        <w:t>Configuration</w:t>
      </w:r>
    </w:p>
    <w:p w:rsidR="00C215A5" w:rsidRDefault="00C215A5" w:rsidP="00C215A5">
      <w:pPr>
        <w:rPr>
          <w:lang w:val="en-US"/>
        </w:rPr>
      </w:pPr>
      <w:r>
        <w:rPr>
          <w:lang w:val="en-US"/>
        </w:rPr>
        <w:t xml:space="preserve">First the </w:t>
      </w:r>
      <w:r w:rsidR="00FD2174">
        <w:rPr>
          <w:lang w:val="en-US"/>
        </w:rPr>
        <w:t>test tool</w:t>
      </w:r>
      <w:r>
        <w:rPr>
          <w:lang w:val="en-US"/>
        </w:rPr>
        <w:t xml:space="preserve"> needs to be configured, starting with the connection details. The actor under test network settings need to be configured. Select the ‘Session Information’ tab and configure the actor under test AE title, </w:t>
      </w:r>
      <w:proofErr w:type="spellStart"/>
      <w:r>
        <w:rPr>
          <w:lang w:val="en-US"/>
        </w:rPr>
        <w:t>ip</w:t>
      </w:r>
      <w:proofErr w:type="spellEnd"/>
      <w:r>
        <w:rPr>
          <w:lang w:val="en-US"/>
        </w:rPr>
        <w:t>-address and port number. Make sure that the IHE test tool AE title and port is correctly configured at the actor side as well.</w:t>
      </w:r>
    </w:p>
    <w:p w:rsidR="00C215A5" w:rsidRDefault="00C215A5" w:rsidP="00C215A5">
      <w:pPr>
        <w:rPr>
          <w:lang w:val="en-US"/>
        </w:rPr>
      </w:pPr>
    </w:p>
    <w:p w:rsidR="00C215A5" w:rsidRDefault="00C215A5" w:rsidP="00C215A5">
      <w:pPr>
        <w:rPr>
          <w:lang w:val="en-US"/>
        </w:rPr>
      </w:pPr>
    </w:p>
    <w:p w:rsidR="00C215A5" w:rsidRPr="00B52818" w:rsidRDefault="00902F6E" w:rsidP="00C215A5">
      <w:pPr>
        <w:rPr>
          <w:lang w:val="en-US"/>
        </w:rPr>
      </w:pPr>
      <w:r>
        <w:rPr>
          <w:noProof/>
          <w:lang w:val="en-US" w:eastAsia="en-US"/>
        </w:rPr>
        <w:drawing>
          <wp:inline distT="0" distB="0" distL="0" distR="0" wp14:anchorId="0356316B" wp14:editId="64CE73FF">
            <wp:extent cx="5274310" cy="4594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594860"/>
                    </a:xfrm>
                    <a:prstGeom prst="rect">
                      <a:avLst/>
                    </a:prstGeom>
                  </pic:spPr>
                </pic:pic>
              </a:graphicData>
            </a:graphic>
          </wp:inline>
        </w:drawing>
      </w:r>
    </w:p>
    <w:p w:rsidR="00C215A5" w:rsidRDefault="00C215A5" w:rsidP="00C215A5">
      <w:pPr>
        <w:rPr>
          <w:lang w:val="en-US"/>
        </w:rPr>
      </w:pPr>
    </w:p>
    <w:p w:rsidR="00C215A5" w:rsidRDefault="00C215A5" w:rsidP="00C215A5">
      <w:pPr>
        <w:rPr>
          <w:lang w:val="en-US"/>
        </w:rPr>
      </w:pPr>
    </w:p>
    <w:p w:rsidR="00C215A5" w:rsidRDefault="00C215A5" w:rsidP="00C215A5">
      <w:pPr>
        <w:rPr>
          <w:rFonts w:cs="Arial"/>
          <w:b/>
          <w:bCs/>
          <w:sz w:val="26"/>
          <w:szCs w:val="26"/>
          <w:lang w:val="en-US"/>
        </w:rPr>
      </w:pPr>
      <w:r>
        <w:rPr>
          <w:rStyle w:val="Heading3Char"/>
          <w:lang w:val="en-US"/>
        </w:rPr>
        <w:t>Running a scenario</w:t>
      </w:r>
    </w:p>
    <w:p w:rsidR="00C215A5" w:rsidRDefault="00C215A5" w:rsidP="00C215A5">
      <w:pPr>
        <w:rPr>
          <w:rFonts w:cs="Arial"/>
          <w:b/>
          <w:bCs/>
          <w:sz w:val="26"/>
          <w:szCs w:val="26"/>
          <w:lang w:val="en-US"/>
        </w:rPr>
      </w:pPr>
      <w:r>
        <w:rPr>
          <w:lang w:val="en-US"/>
        </w:rPr>
        <w:t>The DVT application has 2 panes. Initially the test scenarios are not shown in the left pane. The test scenarios can be made visible by clicking on the “+” sign left from the text “</w:t>
      </w:r>
      <w:proofErr w:type="spellStart"/>
      <w:r w:rsidR="00FD2174" w:rsidRPr="00FD2174">
        <w:rPr>
          <w:lang w:val="en-US"/>
        </w:rPr>
        <w:t>TestTool</w:t>
      </w:r>
      <w:proofErr w:type="spellEnd"/>
      <w:r w:rsidR="00FD2174" w:rsidRPr="00FD2174">
        <w:rPr>
          <w:lang w:val="en-US"/>
        </w:rPr>
        <w:t xml:space="preserve"> - Custom </w:t>
      </w:r>
      <w:proofErr w:type="spellStart"/>
      <w:r w:rsidR="00FD2174" w:rsidRPr="00FD2174">
        <w:rPr>
          <w:lang w:val="en-US"/>
        </w:rPr>
        <w:t>DCOMP</w:t>
      </w:r>
      <w:r w:rsidR="00FD2174">
        <w:rPr>
          <w:lang w:val="en-US"/>
        </w:rPr>
        <w:t>.ses</w:t>
      </w:r>
      <w:proofErr w:type="spellEnd"/>
      <w:r>
        <w:rPr>
          <w:lang w:val="en-US"/>
        </w:rPr>
        <w:t>”.</w:t>
      </w:r>
    </w:p>
    <w:p w:rsidR="00C215A5" w:rsidRDefault="00C215A5" w:rsidP="00C215A5">
      <w:pPr>
        <w:rPr>
          <w:lang w:val="en-US"/>
        </w:rPr>
      </w:pPr>
      <w:r>
        <w:rPr>
          <w:lang w:val="en-US"/>
        </w:rPr>
        <w:t>Selecting one of the available test scenarios will show the overview of that particular test scenario in the right pane.</w:t>
      </w:r>
    </w:p>
    <w:p w:rsidR="00C215A5" w:rsidRDefault="00C215A5" w:rsidP="00C215A5">
      <w:pPr>
        <w:rPr>
          <w:lang w:val="en-US"/>
        </w:rPr>
      </w:pPr>
      <w:r>
        <w:rPr>
          <w:lang w:val="en-US"/>
        </w:rPr>
        <w:t xml:space="preserve">The test scenario will start executing by double clicking on the test scenario name in the left pane (e.g. double click on the text </w:t>
      </w:r>
      <w:r w:rsidR="00030AAC" w:rsidRPr="00030AAC">
        <w:rPr>
          <w:lang w:val="en-US"/>
        </w:rPr>
        <w:t>ArchiveScenario</w:t>
      </w:r>
      <w:r>
        <w:rPr>
          <w:lang w:val="en-US"/>
        </w:rPr>
        <w:t>.vbs in the left pane)</w:t>
      </w:r>
    </w:p>
    <w:p w:rsidR="00C215A5" w:rsidRDefault="00C215A5" w:rsidP="00C215A5">
      <w:pPr>
        <w:rPr>
          <w:lang w:val="en-US"/>
        </w:rPr>
      </w:pPr>
    </w:p>
    <w:p w:rsidR="00C215A5" w:rsidRDefault="00B52818" w:rsidP="00C215A5">
      <w:pPr>
        <w:rPr>
          <w:lang w:val="en-US"/>
        </w:rPr>
      </w:pPr>
      <w:r>
        <w:rPr>
          <w:noProof/>
          <w:lang w:val="en-US" w:eastAsia="en-US"/>
        </w:rPr>
        <w:drawing>
          <wp:inline distT="0" distB="0" distL="0" distR="0">
            <wp:extent cx="5274310" cy="3319529"/>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274310" cy="3319529"/>
                    </a:xfrm>
                    <a:prstGeom prst="rect">
                      <a:avLst/>
                    </a:prstGeom>
                    <a:noFill/>
                    <a:ln w="9525">
                      <a:noFill/>
                      <a:miter lim="800000"/>
                      <a:headEnd/>
                      <a:tailEnd/>
                    </a:ln>
                  </pic:spPr>
                </pic:pic>
              </a:graphicData>
            </a:graphic>
          </wp:inline>
        </w:drawing>
      </w:r>
    </w:p>
    <w:p w:rsidR="00C215A5" w:rsidRDefault="00C215A5" w:rsidP="00C215A5">
      <w:pPr>
        <w:rPr>
          <w:lang w:val="en-US"/>
        </w:rPr>
      </w:pPr>
    </w:p>
    <w:p w:rsidR="00C215A5" w:rsidRDefault="00C215A5" w:rsidP="00C215A5">
      <w:pPr>
        <w:rPr>
          <w:lang w:val="en-US"/>
        </w:rPr>
      </w:pPr>
    </w:p>
    <w:p w:rsidR="00C215A5" w:rsidRDefault="00C215A5" w:rsidP="00C215A5">
      <w:pPr>
        <w:rPr>
          <w:lang w:val="en-US"/>
        </w:rPr>
      </w:pPr>
      <w:r>
        <w:rPr>
          <w:lang w:val="en-US"/>
        </w:rPr>
        <w:t>When a test scenario starts executing a pop up window will appear showing the activity logging. See example below.</w:t>
      </w:r>
    </w:p>
    <w:p w:rsidR="00C215A5" w:rsidRDefault="00C215A5" w:rsidP="00C215A5">
      <w:pPr>
        <w:rPr>
          <w:lang w:val="en-US"/>
        </w:rPr>
      </w:pPr>
    </w:p>
    <w:p w:rsidR="00C215A5" w:rsidRDefault="00C215A5" w:rsidP="00C215A5">
      <w:pPr>
        <w:rPr>
          <w:lang w:val="en-US"/>
        </w:rPr>
      </w:pPr>
      <w:r>
        <w:rPr>
          <w:noProof/>
          <w:lang w:val="en-US" w:eastAsia="en-US"/>
        </w:rPr>
        <w:drawing>
          <wp:inline distT="0" distB="0" distL="0" distR="0">
            <wp:extent cx="5257800" cy="3055620"/>
            <wp:effectExtent l="19050" t="0" r="0" b="0"/>
            <wp:docPr id="7" name="Picture 3" descr="ts_usage_activity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_usage_activitylog"/>
                    <pic:cNvPicPr>
                      <a:picLocks noChangeAspect="1" noChangeArrowheads="1"/>
                    </pic:cNvPicPr>
                  </pic:nvPicPr>
                  <pic:blipFill>
                    <a:blip r:embed="rId6" cstate="print"/>
                    <a:srcRect/>
                    <a:stretch>
                      <a:fillRect/>
                    </a:stretch>
                  </pic:blipFill>
                  <pic:spPr bwMode="auto">
                    <a:xfrm>
                      <a:off x="0" y="0"/>
                      <a:ext cx="5257800" cy="3055620"/>
                    </a:xfrm>
                    <a:prstGeom prst="rect">
                      <a:avLst/>
                    </a:prstGeom>
                    <a:noFill/>
                    <a:ln w="9525">
                      <a:noFill/>
                      <a:miter lim="800000"/>
                      <a:headEnd/>
                      <a:tailEnd/>
                    </a:ln>
                  </pic:spPr>
                </pic:pic>
              </a:graphicData>
            </a:graphic>
          </wp:inline>
        </w:drawing>
      </w:r>
    </w:p>
    <w:p w:rsidR="00C215A5" w:rsidRDefault="00C215A5" w:rsidP="00C215A5">
      <w:pPr>
        <w:rPr>
          <w:lang w:val="en-US"/>
        </w:rPr>
      </w:pPr>
    </w:p>
    <w:p w:rsidR="00C215A5" w:rsidRDefault="00FD2174" w:rsidP="00C215A5">
      <w:pPr>
        <w:rPr>
          <w:lang w:val="en-US"/>
        </w:rPr>
      </w:pPr>
      <w:r>
        <w:rPr>
          <w:lang w:val="en-US"/>
        </w:rPr>
        <w:t>Test scenarios</w:t>
      </w:r>
      <w:r w:rsidR="00C215A5">
        <w:rPr>
          <w:lang w:val="en-US"/>
        </w:rPr>
        <w:t xml:space="preserve"> send transactions to the actor under test and expect to receive transactions from the actor under test. A </w:t>
      </w:r>
      <w:r>
        <w:rPr>
          <w:lang w:val="en-US"/>
        </w:rPr>
        <w:t>test scenario</w:t>
      </w:r>
      <w:r w:rsidR="00C215A5">
        <w:rPr>
          <w:lang w:val="en-US"/>
        </w:rPr>
        <w:t xml:space="preserve"> will first send all transactions belonging to the scenario. After sending it will wait for incoming transactions form the actor under test. While the test tool is listening a dialog will be shown as can be seen below.</w:t>
      </w:r>
    </w:p>
    <w:p w:rsidR="00C215A5" w:rsidRDefault="00C215A5" w:rsidP="00C215A5">
      <w:pPr>
        <w:rPr>
          <w:lang w:val="en-US"/>
        </w:rPr>
      </w:pPr>
    </w:p>
    <w:p w:rsidR="00C215A5" w:rsidRDefault="00C215A5" w:rsidP="00C215A5">
      <w:pPr>
        <w:rPr>
          <w:lang w:val="en-US"/>
        </w:rPr>
      </w:pPr>
      <w:r>
        <w:rPr>
          <w:noProof/>
          <w:lang w:val="en-US" w:eastAsia="en-US"/>
        </w:rPr>
        <w:lastRenderedPageBreak/>
        <w:drawing>
          <wp:inline distT="0" distB="0" distL="0" distR="0">
            <wp:extent cx="3291840" cy="2430780"/>
            <wp:effectExtent l="19050" t="0" r="3810" b="0"/>
            <wp:docPr id="8" name="Picture 4" descr="ts_usage_listeningd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s_usage_listeningdlg"/>
                    <pic:cNvPicPr>
                      <a:picLocks noChangeAspect="1" noChangeArrowheads="1"/>
                    </pic:cNvPicPr>
                  </pic:nvPicPr>
                  <pic:blipFill>
                    <a:blip r:embed="rId7" cstate="print"/>
                    <a:srcRect/>
                    <a:stretch>
                      <a:fillRect/>
                    </a:stretch>
                  </pic:blipFill>
                  <pic:spPr bwMode="auto">
                    <a:xfrm>
                      <a:off x="0" y="0"/>
                      <a:ext cx="3291840" cy="2430780"/>
                    </a:xfrm>
                    <a:prstGeom prst="rect">
                      <a:avLst/>
                    </a:prstGeom>
                    <a:noFill/>
                    <a:ln w="9525">
                      <a:noFill/>
                      <a:miter lim="800000"/>
                      <a:headEnd/>
                      <a:tailEnd/>
                    </a:ln>
                  </pic:spPr>
                </pic:pic>
              </a:graphicData>
            </a:graphic>
          </wp:inline>
        </w:drawing>
      </w:r>
    </w:p>
    <w:p w:rsidR="00C215A5" w:rsidRDefault="00C215A5" w:rsidP="00C215A5">
      <w:pPr>
        <w:rPr>
          <w:lang w:val="en-US"/>
        </w:rPr>
      </w:pPr>
    </w:p>
    <w:p w:rsidR="00C215A5" w:rsidRDefault="00C215A5" w:rsidP="00C215A5">
      <w:pPr>
        <w:rPr>
          <w:lang w:val="en-US"/>
        </w:rPr>
      </w:pPr>
      <w:r>
        <w:rPr>
          <w:lang w:val="en-US"/>
        </w:rPr>
        <w:t xml:space="preserve">When all transactions have been sent to the test </w:t>
      </w:r>
      <w:r w:rsidR="00FD2174">
        <w:rPr>
          <w:lang w:val="en-US"/>
        </w:rPr>
        <w:t>tool the</w:t>
      </w:r>
      <w:r>
        <w:rPr>
          <w:lang w:val="en-US"/>
        </w:rPr>
        <w:t xml:space="preserve"> user can continue on with the validation of all received transactions by closing the dialog. The dialog can be closed by clicking the ‘Stop listening and start validation’ button. All received scenario transactions are validated against the IHE-RO RT objects profile requirements. The results will be shown in the test tools main window.</w:t>
      </w:r>
    </w:p>
    <w:p w:rsidR="00C215A5" w:rsidRDefault="00C215A5" w:rsidP="00C215A5">
      <w:pPr>
        <w:rPr>
          <w:lang w:val="en-US"/>
        </w:rPr>
      </w:pPr>
    </w:p>
    <w:p w:rsidR="00C215A5" w:rsidRDefault="00C215A5" w:rsidP="00C215A5">
      <w:pPr>
        <w:rPr>
          <w:lang w:val="en-US"/>
        </w:rPr>
      </w:pPr>
    </w:p>
    <w:p w:rsidR="00C215A5" w:rsidRDefault="00C215A5" w:rsidP="00C215A5">
      <w:pPr>
        <w:rPr>
          <w:rFonts w:cs="Arial"/>
          <w:b/>
          <w:bCs/>
          <w:sz w:val="26"/>
          <w:szCs w:val="26"/>
          <w:lang w:val="en-US"/>
        </w:rPr>
      </w:pPr>
      <w:r>
        <w:rPr>
          <w:rStyle w:val="Heading3Char"/>
          <w:lang w:val="en-US"/>
        </w:rPr>
        <w:t>Test Results</w:t>
      </w:r>
    </w:p>
    <w:p w:rsidR="00C215A5" w:rsidRDefault="00C215A5" w:rsidP="00C215A5">
      <w:pPr>
        <w:rPr>
          <w:lang w:val="en-US"/>
        </w:rPr>
      </w:pPr>
      <w:r>
        <w:rPr>
          <w:lang w:val="en-US"/>
        </w:rPr>
        <w:t>The result files of all tested scenarios are located at “&lt;</w:t>
      </w:r>
      <w:proofErr w:type="spellStart"/>
      <w:r>
        <w:rPr>
          <w:lang w:val="en-US"/>
        </w:rPr>
        <w:t>Instalation</w:t>
      </w:r>
      <w:proofErr w:type="spellEnd"/>
      <w:r>
        <w:rPr>
          <w:lang w:val="en-US"/>
        </w:rPr>
        <w:t xml:space="preserve"> </w:t>
      </w:r>
      <w:proofErr w:type="spellStart"/>
      <w:r>
        <w:rPr>
          <w:lang w:val="en-US"/>
        </w:rPr>
        <w:t>dir</w:t>
      </w:r>
      <w:proofErr w:type="spellEnd"/>
      <w:r>
        <w:rPr>
          <w:lang w:val="en-US"/>
        </w:rPr>
        <w:t xml:space="preserve">&gt;\IHE-RO </w:t>
      </w:r>
      <w:proofErr w:type="spellStart"/>
      <w:r>
        <w:rPr>
          <w:lang w:val="en-US"/>
        </w:rPr>
        <w:t>Testtools</w:t>
      </w:r>
      <w:proofErr w:type="spellEnd"/>
      <w:r w:rsidR="000C22AA">
        <w:rPr>
          <w:lang w:val="en-US"/>
        </w:rPr>
        <w:t xml:space="preserve"> </w:t>
      </w:r>
      <w:r w:rsidR="00FD2174">
        <w:rPr>
          <w:lang w:val="en-US"/>
        </w:rPr>
        <w:t xml:space="preserve">Custom </w:t>
      </w:r>
      <w:r w:rsidR="00030AAC">
        <w:rPr>
          <w:lang w:val="en-US"/>
        </w:rPr>
        <w:t>DCOMP</w:t>
      </w:r>
      <w:r>
        <w:rPr>
          <w:lang w:val="en-US"/>
        </w:rPr>
        <w:t>\</w:t>
      </w:r>
      <w:proofErr w:type="spellStart"/>
      <w:r>
        <w:rPr>
          <w:lang w:val="en-US"/>
        </w:rPr>
        <w:t>Resultfiles</w:t>
      </w:r>
      <w:proofErr w:type="spellEnd"/>
      <w:r>
        <w:rPr>
          <w:lang w:val="en-US"/>
        </w:rPr>
        <w:t>”.</w:t>
      </w:r>
    </w:p>
    <w:p w:rsidR="007119B1" w:rsidRDefault="0044714E">
      <w:pPr>
        <w:rPr>
          <w:lang w:val="en-US"/>
        </w:rPr>
      </w:pPr>
    </w:p>
    <w:p w:rsidR="000C22AA" w:rsidRPr="00C215A5" w:rsidRDefault="0044714E">
      <w:pPr>
        <w:rPr>
          <w:lang w:val="en-US"/>
        </w:rPr>
      </w:pPr>
      <w:hyperlink r:id="rId8" w:history="1">
        <w:r w:rsidR="000C22AA">
          <w:rPr>
            <w:rStyle w:val="Hyperlink"/>
            <w:rFonts w:eastAsiaTheme="minorEastAsia"/>
            <w:lang w:val="en-US"/>
          </w:rPr>
          <w:t>Back to scenario description</w:t>
        </w:r>
      </w:hyperlink>
    </w:p>
    <w:sectPr w:rsidR="000C22AA" w:rsidRPr="00C215A5" w:rsidSect="002E71E0">
      <w:pgSz w:w="11906" w:h="16838"/>
      <w:pgMar w:top="1440" w:right="1800" w:bottom="1440" w:left="18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2"/>
  </w:compat>
  <w:rsids>
    <w:rsidRoot w:val="00C215A5"/>
    <w:rsid w:val="00030AAC"/>
    <w:rsid w:val="000C22AA"/>
    <w:rsid w:val="00273845"/>
    <w:rsid w:val="002E71E0"/>
    <w:rsid w:val="003342D8"/>
    <w:rsid w:val="0044714E"/>
    <w:rsid w:val="005E11E1"/>
    <w:rsid w:val="00902F6E"/>
    <w:rsid w:val="009B6BF6"/>
    <w:rsid w:val="009D6984"/>
    <w:rsid w:val="00B52818"/>
    <w:rsid w:val="00C215A5"/>
    <w:rsid w:val="00D7102A"/>
    <w:rsid w:val="00FD2174"/>
    <w:rsid w:val="00FE18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AB0755-2268-4DB3-A106-8844C79E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5A5"/>
    <w:pPr>
      <w:spacing w:after="0" w:line="240" w:lineRule="auto"/>
    </w:pPr>
    <w:rPr>
      <w:rFonts w:ascii="Arial" w:eastAsia="Times New Roman" w:hAnsi="Arial" w:cs="Times New Roman"/>
      <w:sz w:val="20"/>
      <w:szCs w:val="20"/>
      <w:lang w:eastAsia="nl-NL"/>
    </w:rPr>
  </w:style>
  <w:style w:type="paragraph" w:styleId="Heading1">
    <w:name w:val="heading 1"/>
    <w:basedOn w:val="Normal"/>
    <w:next w:val="Normal"/>
    <w:link w:val="Heading1Char"/>
    <w:qFormat/>
    <w:rsid w:val="00C215A5"/>
    <w:pPr>
      <w:keepNext/>
      <w:spacing w:before="240" w:after="60"/>
      <w:outlineLvl w:val="0"/>
    </w:pPr>
    <w:rPr>
      <w:rFonts w:eastAsiaTheme="minorEastAsia" w:cs="Arial"/>
      <w:b/>
      <w:bCs/>
      <w:kern w:val="32"/>
      <w:sz w:val="32"/>
      <w:szCs w:val="32"/>
    </w:rPr>
  </w:style>
  <w:style w:type="paragraph" w:styleId="Heading3">
    <w:name w:val="heading 3"/>
    <w:basedOn w:val="Normal"/>
    <w:next w:val="Normal"/>
    <w:link w:val="Heading3Char"/>
    <w:qFormat/>
    <w:rsid w:val="00C215A5"/>
    <w:pPr>
      <w:keepNext/>
      <w:spacing w:before="240" w:after="60"/>
      <w:outlineLvl w:val="2"/>
    </w:pPr>
    <w:rPr>
      <w:rFonts w:eastAsiaTheme="minorEastAsia"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15A5"/>
    <w:rPr>
      <w:rFonts w:ascii="Arial" w:eastAsiaTheme="minorEastAsia" w:hAnsi="Arial" w:cs="Arial"/>
      <w:b/>
      <w:bCs/>
      <w:kern w:val="32"/>
      <w:sz w:val="32"/>
      <w:szCs w:val="32"/>
      <w:lang w:eastAsia="nl-NL"/>
    </w:rPr>
  </w:style>
  <w:style w:type="character" w:customStyle="1" w:styleId="Heading3Char">
    <w:name w:val="Heading 3 Char"/>
    <w:basedOn w:val="DefaultParagraphFont"/>
    <w:link w:val="Heading3"/>
    <w:rsid w:val="00C215A5"/>
    <w:rPr>
      <w:rFonts w:ascii="Arial" w:eastAsiaTheme="minorEastAsia" w:hAnsi="Arial" w:cs="Arial"/>
      <w:b/>
      <w:bCs/>
      <w:sz w:val="26"/>
      <w:szCs w:val="26"/>
      <w:lang w:eastAsia="nl-NL"/>
    </w:rPr>
  </w:style>
  <w:style w:type="paragraph" w:styleId="BalloonText">
    <w:name w:val="Balloon Text"/>
    <w:basedOn w:val="Normal"/>
    <w:link w:val="BalloonTextChar"/>
    <w:uiPriority w:val="99"/>
    <w:semiHidden/>
    <w:unhideWhenUsed/>
    <w:rsid w:val="00C215A5"/>
    <w:rPr>
      <w:rFonts w:ascii="Tahoma" w:hAnsi="Tahoma" w:cs="Tahoma"/>
      <w:sz w:val="16"/>
      <w:szCs w:val="16"/>
    </w:rPr>
  </w:style>
  <w:style w:type="character" w:customStyle="1" w:styleId="BalloonTextChar">
    <w:name w:val="Balloon Text Char"/>
    <w:basedOn w:val="DefaultParagraphFont"/>
    <w:link w:val="BalloonText"/>
    <w:uiPriority w:val="99"/>
    <w:semiHidden/>
    <w:rsid w:val="00C215A5"/>
    <w:rPr>
      <w:rFonts w:ascii="Tahoma" w:eastAsia="Times New Roman" w:hAnsi="Tahoma" w:cs="Tahoma"/>
      <w:sz w:val="16"/>
      <w:szCs w:val="16"/>
      <w:lang w:eastAsia="nl-NL"/>
    </w:rPr>
  </w:style>
  <w:style w:type="character" w:styleId="Hyperlink">
    <w:name w:val="Hyperlink"/>
    <w:basedOn w:val="DefaultParagraphFont"/>
    <w:rsid w:val="000C22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history.back(1)"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338</Words>
  <Characters>1933</Characters>
  <Application>Microsoft Office Word</Application>
  <DocSecurity>0</DocSecurity>
  <Lines>16</Lines>
  <Paragraphs>4</Paragraphs>
  <ScaleCrop>false</ScaleCrop>
  <Company>ICT Automatisering NV</Company>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vreemaw</dc:creator>
  <cp:keywords/>
  <dc:description/>
  <cp:lastModifiedBy>Wouter Vreeman</cp:lastModifiedBy>
  <cp:revision>10</cp:revision>
  <dcterms:created xsi:type="dcterms:W3CDTF">2013-04-04T12:45:00Z</dcterms:created>
  <dcterms:modified xsi:type="dcterms:W3CDTF">2016-01-13T13:03:00Z</dcterms:modified>
</cp:coreProperties>
</file>