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Tables in PDF</w:t>
      </w:r>
    </w:p>
    <w:bookmarkStart w:id="20" w:name="markdown-tables"/>
    <w:p>
      <w:pPr>
        <w:pStyle w:val="Heading1"/>
      </w:pPr>
      <w:r>
        <w:t xml:space="preserve">Markdown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identified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Adélie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adeliae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antarcticus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papua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</w:tbl>
    <w:bookmarkEnd w:id="20"/>
    <w:bookmarkStart w:id="22" w:name="tables-of-data"/>
    <w:p>
      <w:pPr>
        <w:pStyle w:val="Heading1"/>
      </w:pPr>
      <w:r>
        <w:t xml:space="preserve">Tables of data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penguins.dropna()</w:t>
      </w:r>
      <w:r>
        <w:br/>
      </w:r>
      <w:r>
        <w:rPr>
          <w:rStyle w:val="NormalTok"/>
        </w:rPr>
        <w:t xml:space="preserve">penguins_cleaned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species</w:t>
            </w:r>
          </w:p>
        </w:tc>
        <w:tc>
          <w:tcPr/>
          <w:p>
            <w:pPr>
              <w:pStyle w:val="Compact"/>
            </w:pPr>
            <w:r>
              <w:t xml:space="preserve">island</w:t>
            </w:r>
          </w:p>
        </w:tc>
        <w:tc>
          <w:tcPr/>
          <w:p>
            <w:pPr>
              <w:pStyle w:val="Compac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</w:pPr>
            <w:r>
              <w:t xml:space="preserve">body_mass_g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39.1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181.0</w:t>
            </w:r>
          </w:p>
        </w:tc>
        <w:tc>
          <w:tcPr/>
          <w:p>
            <w:pPr>
              <w:pStyle w:val="Compact"/>
            </w:pPr>
            <w:r>
              <w:t xml:space="preserve">3750.0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39.5</w:t>
            </w:r>
          </w:p>
        </w:tc>
        <w:tc>
          <w:tcPr/>
          <w:p>
            <w:pPr>
              <w:pStyle w:val="Compact"/>
            </w:pPr>
            <w:r>
              <w:t xml:space="preserve">17.4</w:t>
            </w:r>
          </w:p>
        </w:tc>
        <w:tc>
          <w:tcPr/>
          <w:p>
            <w:pPr>
              <w:pStyle w:val="Compact"/>
            </w:pPr>
            <w:r>
              <w:t xml:space="preserve">186.0</w:t>
            </w:r>
          </w:p>
        </w:tc>
        <w:tc>
          <w:tcPr/>
          <w:p>
            <w:pPr>
              <w:pStyle w:val="Compact"/>
            </w:pPr>
            <w:r>
              <w:t xml:space="preserve">3800.0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40.3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195.0</w:t>
            </w:r>
          </w:p>
        </w:tc>
        <w:tc>
          <w:tcPr/>
          <w:p>
            <w:pPr>
              <w:pStyle w:val="Compact"/>
            </w:pPr>
            <w:r>
              <w:t xml:space="preserve">3250.0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36.7</w:t>
            </w:r>
          </w:p>
        </w:tc>
        <w:tc>
          <w:tcPr/>
          <w:p>
            <w:pPr>
              <w:pStyle w:val="Compact"/>
            </w:pPr>
            <w:r>
              <w:t xml:space="preserve">19.3</w:t>
            </w:r>
          </w:p>
        </w:tc>
        <w:tc>
          <w:tcPr/>
          <w:p>
            <w:pPr>
              <w:pStyle w:val="Compact"/>
            </w:pPr>
            <w:r>
              <w:t xml:space="preserve">193.0</w:t>
            </w:r>
          </w:p>
        </w:tc>
        <w:tc>
          <w:tcPr/>
          <w:p>
            <w:pPr>
              <w:pStyle w:val="Compact"/>
            </w:pPr>
            <w:r>
              <w:t xml:space="preserve">3450.0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39.3</w:t>
            </w:r>
          </w:p>
        </w:tc>
        <w:tc>
          <w:tcPr/>
          <w:p>
            <w:pPr>
              <w:pStyle w:val="Compact"/>
            </w:pPr>
            <w:r>
              <w:t xml:space="preserve">20.6</w:t>
            </w:r>
          </w:p>
        </w:tc>
        <w:tc>
          <w:tcPr/>
          <w:p>
            <w:pPr>
              <w:pStyle w:val="Compact"/>
            </w:pPr>
            <w:r>
              <w:t xml:space="preserve">190.0</w:t>
            </w:r>
          </w:p>
        </w:tc>
        <w:tc>
          <w:tcPr/>
          <w:p>
            <w:pPr>
              <w:pStyle w:val="Compact"/>
            </w:pPr>
            <w:r>
              <w:t xml:space="preserve">3650.0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339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55.8</w:t>
            </w:r>
          </w:p>
        </w:tc>
        <w:tc>
          <w:tcPr/>
          <w:p>
            <w:pPr>
              <w:pStyle w:val="Compact"/>
            </w:pPr>
            <w:r>
              <w:t xml:space="preserve">19.8</w:t>
            </w:r>
          </w:p>
        </w:tc>
        <w:tc>
          <w:tcPr/>
          <w:p>
            <w:pPr>
              <w:pStyle w:val="Compact"/>
            </w:pPr>
            <w:r>
              <w:t xml:space="preserve">207.0</w:t>
            </w:r>
          </w:p>
        </w:tc>
        <w:tc>
          <w:tcPr/>
          <w:p>
            <w:pPr>
              <w:pStyle w:val="Compact"/>
            </w:pPr>
            <w:r>
              <w:t xml:space="preserve">4000.0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340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43.5</w:t>
            </w:r>
          </w:p>
        </w:tc>
        <w:tc>
          <w:tcPr/>
          <w:p>
            <w:pPr>
              <w:pStyle w:val="Compact"/>
            </w:pPr>
            <w:r>
              <w:t xml:space="preserve">18.1</w:t>
            </w:r>
          </w:p>
        </w:tc>
        <w:tc>
          <w:tcPr/>
          <w:p>
            <w:pPr>
              <w:pStyle w:val="Compact"/>
            </w:pPr>
            <w:r>
              <w:t xml:space="preserve">202.0</w:t>
            </w:r>
          </w:p>
        </w:tc>
        <w:tc>
          <w:tcPr/>
          <w:p>
            <w:pPr>
              <w:pStyle w:val="Compact"/>
            </w:pPr>
            <w:r>
              <w:t xml:space="preserve">3400.0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341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  <w:tc>
          <w:tcPr/>
          <w:p>
            <w:pPr>
              <w:pStyle w:val="Compact"/>
            </w:pPr>
            <w:r>
              <w:t xml:space="preserve">18.2</w:t>
            </w:r>
          </w:p>
        </w:tc>
        <w:tc>
          <w:tcPr/>
          <w:p>
            <w:pPr>
              <w:pStyle w:val="Compact"/>
            </w:pPr>
            <w:r>
              <w:t xml:space="preserve">193.0</w:t>
            </w:r>
          </w:p>
        </w:tc>
        <w:tc>
          <w:tcPr/>
          <w:p>
            <w:pPr>
              <w:pStyle w:val="Compact"/>
            </w:pPr>
            <w:r>
              <w:t xml:space="preserve">3775.0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19.0</w:t>
            </w:r>
          </w:p>
        </w:tc>
        <w:tc>
          <w:tcPr/>
          <w:p>
            <w:pPr>
              <w:pStyle w:val="Compact"/>
            </w:pPr>
            <w:r>
              <w:t xml:space="preserve">210.0</w:t>
            </w:r>
          </w:p>
        </w:tc>
        <w:tc>
          <w:tcPr/>
          <w:p>
            <w:pPr>
              <w:pStyle w:val="Compact"/>
            </w:pPr>
            <w:r>
              <w:t xml:space="preserve">4100.0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343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198.0</w:t>
            </w:r>
          </w:p>
        </w:tc>
        <w:tc>
          <w:tcPr/>
          <w:p>
            <w:pPr>
              <w:pStyle w:val="Compact"/>
            </w:pPr>
            <w:r>
              <w:t xml:space="preserve">3775.0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VerbatimChar"/>
          </w:rPr>
          <w:t xml:space="preserve">tabulate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 </w:t>
      </w:r>
      <w:r>
        <w:t xml:space="preserve">is currently the best solution for custom formatting Word tables from Python objects.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NormalTok"/>
        </w:rPr>
        <w:t xml:space="preserve">penguins_small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).iloc[:, 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penguins_small.columns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penguins_small.columns.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Markdown(tabulate(</w:t>
      </w:r>
      <w:r>
        <w:br/>
      </w:r>
      <w:r>
        <w:rPr>
          <w:rStyle w:val="NormalTok"/>
        </w:rPr>
        <w:t xml:space="preserve">    penguins_small,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penguins_small.columns,</w:t>
      </w:r>
      <w:r>
        <w:br/>
      </w:r>
      <w:r>
        <w:rPr>
          <w:rStyle w:val="NormalTok"/>
        </w:rPr>
        <w:t xml:space="preserve">    showindex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"never"</w:t>
      </w:r>
      <w:r>
        <w:br/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bill.length.mm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bill.depth.mm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</w:tr>
    </w:tbl>
    <w:bookmarkEnd w:id="22"/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3298198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21649F"/>
    <w:rsid w:val="00293254"/>
    <w:rsid w:val="003C121B"/>
    <w:rsid w:val="006561C8"/>
    <w:rsid w:val="0068798F"/>
    <w:rsid w:val="00696934"/>
    <w:rsid w:val="006B1806"/>
    <w:rsid w:val="009C0D6A"/>
    <w:rsid w:val="00F4059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  <w:rPr>
      <w:rFonts w:ascii="Helvetica" w:hAnsi="Helvetica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561C8"/>
    <w:pPr>
      <w:spacing w:after="80"/>
      <w:contextualSpacing/>
      <w:jc w:val="center"/>
    </w:pPr>
    <w:rPr>
      <w:rFonts w:ascii="Helvetica" w:cs="Times New Roman (Headings CS)" w:eastAsiaTheme="majorEastAsia" w:hAnsi="Helvetic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561C8"/>
    <w:rPr>
      <w:rFonts w:ascii="Helvetica" w:cs="Times New Roman (Headings CS)" w:eastAsiaTheme="majorEastAsia" w:hAnsi="Helvetica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rFonts w:ascii="Helvetica" w:hAnsi="Helvetica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ypi.org/project/tabula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ypi.org/project/tabul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Tables in PDF</dc:title>
  <dc:creator/>
  <cp:keywords/>
  <dcterms:created xsi:type="dcterms:W3CDTF">2025-05-03T15:02:22Z</dcterms:created>
  <dcterms:modified xsi:type="dcterms:W3CDTF">2025-05-03T15:02:22Z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