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analyse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color w:val="000000"/>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 En in het hoofdstuk Security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Compatability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Inclusivity</w:t>
      </w:r>
    </w:p>
    <w:p>
      <w:r>
        <w:t>Capability of a product to be utilised by people of various backgrounds.</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color w:val="000000"/>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voldoet aan de WCAG2.2 succescriteria, niveau A en AA</w:t>
            </w:r>
          </w:p>
        </w:tc>
        <w:tc>
          <w:tcPr>
            <w:tcW w:type="auto" w:w="1296"/>
          </w:tcPr>
          <w:p>
            <w:pPr>
              <w:jc w:val="left"/>
            </w:pPr>
            <w:r>
              <w:rPr>
                <w:color w:val="000000"/>
                <w:highlight w:val="yellow"/>
              </w:rPr>
              <w:t>{prio}</w:t>
            </w:r>
          </w:p>
        </w:tc>
        <w:tc>
          <w:tcPr>
            <w:tcW w:type="auto" w:w="1296"/>
          </w:tcPr>
          <w:p>
            <w:pPr>
              <w:jc w:val="left"/>
            </w:pPr>
            <w:r>
              <w:t>Wettelijke verplichting</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t>Axe-core rapportage</w:t>
            </w:r>
          </w:p>
        </w:tc>
      </w:tr>
    </w:tbl>
    <w:p>
      <w:r>
        <w:t xml:space="preserve">Onderstaande tabel bevat de WCAG2.2 succescriteria. </w:t>
      </w:r>
      <w:r>
        <w:rPr>
          <w:color w:val="000000"/>
          <w:highlight w:val="yellow"/>
        </w:rPr>
        <w:t>{Verwijder de AAA-succescriteria indien gewenst.}</w:t>
      </w:r>
      <w:r>
        <w:t xml:space="preserve">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4.10.2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gebruikt maximaal taalniveau B1</w:t>
            </w:r>
          </w:p>
        </w:tc>
        <w:tc>
          <w:tcPr>
            <w:tcW w:type="auto" w:w="1296"/>
          </w:tcPr>
          <w:p>
            <w:pPr>
              <w:jc w:val="left"/>
            </w:pPr>
            <w:r>
              <w:rPr>
                <w:color w:val="000000"/>
                <w:highlight w:val="yellow"/>
              </w:rPr>
              <w:t>{prio}</w:t>
            </w:r>
          </w:p>
        </w:tc>
        <w:tc>
          <w:tcPr>
            <w:tcW w:type="auto" w:w="1296"/>
          </w:tcPr>
          <w:p>
            <w:pPr>
              <w:jc w:val="left"/>
            </w:pPr>
            <w:hyperlink r:id="rId197">
              <w:r>
                <w:rPr>
                  <w:rStyle w:val="Hyperlink"/>
                </w:rPr>
                <w:t>Aanbevolen richtlijn</w:t>
              </w:r>
            </w:hyperlink>
          </w:p>
        </w:tc>
        <w:tc>
          <w:tcPr>
            <w:tcW w:type="auto" w:w="1296"/>
          </w:tcPr>
          <w:p>
            <w:pPr>
              <w:jc w:val="left"/>
            </w:pPr>
            <w:r>
              <w:rPr>
                <w:color w:val="000000"/>
                <w:highlight w:val="yellow"/>
              </w:rPr>
              <w:t>{software}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 xml:space="preserve">De applicatie ondersteunt </w:t>
            </w:r>
            <w:r>
              <w:rPr>
                <w:color w:val="000000"/>
                <w:highlight w:val="yellow"/>
              </w:rPr>
              <w:t>{ondersteunde talen}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rPr>
                <w:color w:val="000000"/>
                <w:highlight w:val="yellow"/>
              </w:rPr>
              <w:t>{bewijs}</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Fault tolerance</w:t>
      </w:r>
    </w:p>
    <w:p>
      <w:r>
        <w:t>Capability of a product to operate as intented despite the presence of hardware or software faults.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color w:val="000000"/>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color w:val="000000"/>
                <w:highlight w:val="yellow"/>
              </w:rPr>
              <w:t>{prio}</w:t>
            </w:r>
          </w:p>
        </w:tc>
        <w:tc>
          <w:tcPr>
            <w:tcW w:type="auto" w:w="1296"/>
          </w:tcPr>
          <w:p>
            <w:pPr>
              <w:jc w:val="left"/>
            </w:pPr>
            <w:r>
              <w:t>Hierdoor kunnen de lagen beschermd worden binnen de netwerkzones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color w:val="000000"/>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color w:val="000000"/>
                <w:highlight w:val="yellow"/>
              </w:rPr>
              <w:t>{prio}</w:t>
            </w:r>
          </w:p>
        </w:tc>
        <w:tc>
          <w:tcPr>
            <w:tcW w:type="auto" w:w="1296"/>
          </w:tcPr>
          <w:p>
            <w:pPr>
              <w:jc w:val="left"/>
            </w:pPr>
            <w:r>
              <w:t>Mogelijk maken van toekomstig onderzoek en toegangscontrole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color w:val="000000"/>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color w:val="000000"/>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15</w:t>
            </w:r>
          </w:p>
        </w:tc>
        <w:tc>
          <w:tcPr>
            <w:tcW w:type="auto" w:w="1296"/>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color w:val="000000"/>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color w:val="000000"/>
                <w:highlight w:val="yellow"/>
              </w:rPr>
              <w:t>{prio}</w:t>
            </w:r>
          </w:p>
        </w:tc>
        <w:tc>
          <w:tcPr>
            <w:tcW w:type="auto" w:w="1296"/>
          </w:tcPr>
          <w:p>
            <w:pPr>
              <w:jc w:val="left"/>
            </w:pPr>
            <w:r>
              <w:t>Voorkomt misbruik van het commentaar</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color w:val="000000"/>
                <w:highlight w:val="yellow"/>
              </w:rPr>
              <w:t>{prio}</w:t>
            </w:r>
          </w:p>
        </w:tc>
        <w:tc>
          <w:tcPr>
            <w:tcW w:type="auto" w:w="1296"/>
          </w:tcPr>
          <w:p>
            <w:pPr>
              <w:jc w:val="left"/>
            </w:pPr>
            <w:r>
              <w:t>Voorkomt misbruik van de directory listing</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p>
        </w:tc>
        <w:tc>
          <w:tcPr>
            <w:tcW w:type="auto" w:w="1296"/>
          </w:tcPr>
          <w:p>
            <w:pPr>
              <w:jc w:val="left"/>
            </w:pPr>
            <w:r>
              <w:rPr>
                <w:color w:val="000000"/>
                <w:highlight w:val="yellow"/>
              </w:rP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{software, hardware, combinatie}</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4">
              <w:r>
                <w:rPr>
                  <w:rStyle w:val="Hyperlink"/>
                </w:rPr>
                <w:t>NEN 7510:2017</w:t>
              </w:r>
            </w:hyperlink>
          </w:p>
        </w:tc>
        <w:tc>
          <w:tcPr>
            <w:tcW w:type="auto" w:w="4535"/>
          </w:tcPr>
          <w:p>
            <w:pPr>
              <w:jc w:val="left"/>
            </w:pPr>
            <w:r>
              <w:t>Informatiebeveiliging in de zorg.</w:t>
            </w: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5">
        <w:r>
          <w:rPr>
            <w:rStyle w:val="Hyperlink"/>
          </w:rPr>
          <w:t>PDF-formaat</w:t>
        </w:r>
      </w:hyperlink>
      <w:r>
        <w:t xml:space="preserve"> of </w:t>
      </w:r>
      <w:hyperlink r:id="rId216">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23-en-318088" TargetMode="External"/><Relationship Id="rId202" Type="http://schemas.openxmlformats.org/officeDocument/2006/relationships/hyperlink" Target="https://www.nen.nl/nen-en-iso-iec-27001-2017-a11-2020-nl-265545" TargetMode="External"/><Relationship Id="rId203" Type="http://schemas.openxmlformats.org/officeDocument/2006/relationships/hyperlink" Target="https://www.nen.nl/nen-en-iso-iec-27002-2017-nl-245390" TargetMode="External"/><Relationship Id="rId204" Type="http://schemas.openxmlformats.org/officeDocument/2006/relationships/hyperlink" Target="https://www.nen.nl/nen-7510-1-2017-a1-2020-nl-267179"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0-07-15"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pdf" TargetMode="External"/><Relationship Id="rId216"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