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24-03-2025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Afspraken met de beheerorganisatie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p>
    <w:p>
      <w:pPr>
        <w:pStyle w:val="Lijstnummering1"/>
        <w:numPr>
          <w:ilvl w:val="0"/>
          <w:numId w:val="19"/>
        </w:numPr>
      </w:pPr>
      <w:r>
        <w:t>Een transitieplan dat de activiteiten beschrijft die nodig zijn om de software af te bouwen of te herbouwen en te onderhouden, en</w:t>
      </w:r>
    </w:p>
    <w:p>
      <w:pPr>
        <w:pStyle w:val="Lijstnummering1"/>
        <w:numPr>
          <w:ilvl w:val="0"/>
          <w:numId w:val="19"/>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p>
    <w:p>
      <w:pPr>
        <w:pStyle w:val="Lijstnummering1"/>
        <w:numPr>
          <w:ilvl w:val="0"/>
          <w:numId w:val="20"/>
        </w:numPr>
      </w:pPr>
      <w:r>
        <w:t>Tijdens de realisatiefase: het project bewaakt op dagelijkse basis en geautomatiseerd de kwaliteit van de software.</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0"/>
        </w:numPr>
      </w:pPr>
      <w:r>
        <w:t>Tijdens de realisatiefase: het project evalueert periodiek en handmatig de kwaliteitseigenschappen van de software die niet geautomatiseerd kunnen worden gemeten.</w:t>
      </w:r>
    </w:p>
    <w:p>
      <w:pPr>
        <w:pStyle w:val="Lijstnummering1"/>
        <w:numPr>
          <w:ilvl w:val="0"/>
          <w:numId w:val="20"/>
        </w:numPr>
      </w:pPr>
      <w:r>
        <w:t>Tijdens de realisatiefase: het project actualiseert en reviewt periodiek de documentatie.</w:t>
      </w:r>
    </w:p>
    <w:p>
      <w:pPr>
        <w:pStyle w:val="Lijstnummering1"/>
        <w:numPr>
          <w:ilvl w:val="0"/>
          <w:numId w:val="20"/>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p>
    <w:p>
      <w:pPr>
        <w:pStyle w:val="Lijstnummering1"/>
        <w:numPr>
          <w:ilvl w:val="0"/>
          <w:numId w:val="21"/>
        </w:numPr>
      </w:pPr>
      <w:r>
        <w:t>Unit tests,</w:t>
      </w:r>
    </w:p>
    <w:p>
      <w:pPr>
        <w:pStyle w:val="Lijstnummering1"/>
        <w:numPr>
          <w:ilvl w:val="0"/>
          <w:numId w:val="21"/>
        </w:numPr>
      </w:pPr>
      <w:r>
        <w:t>Regressietests,</w:t>
      </w:r>
    </w:p>
    <w:p>
      <w:pPr>
        <w:pStyle w:val="Lijstnummering1"/>
        <w:numPr>
          <w:ilvl w:val="0"/>
          <w:numId w:val="21"/>
        </w:numPr>
      </w:pPr>
      <w:r>
        <w:t>Beveiligingstests,</w:t>
      </w:r>
    </w:p>
    <w:p>
      <w:pPr>
        <w:pStyle w:val="Lijstnummering1"/>
        <w:numPr>
          <w:ilvl w:val="0"/>
          <w:numId w:val="21"/>
        </w:numPr>
      </w:pPr>
      <w:r>
        <w:t>Performancetests,</w:t>
      </w:r>
    </w:p>
    <w:p>
      <w:pPr>
        <w:pStyle w:val="Lijstnummering1"/>
        <w:numPr>
          <w:ilvl w:val="0"/>
          <w:numId w:val="21"/>
        </w:numPr>
      </w:pPr>
      <w:r>
        <w:t>Toegankelijkheidstests,</w:t>
      </w:r>
    </w:p>
    <w:p>
      <w:pPr>
        <w:pStyle w:val="Lijstnummering1"/>
        <w:numPr>
          <w:ilvl w:val="0"/>
          <w:numId w:val="21"/>
        </w:numPr>
      </w:pPr>
      <w:r>
        <w:t>Broncodekwaliteitscontroles,</w:t>
      </w:r>
    </w:p>
    <w:p>
      <w:pPr>
        <w:pStyle w:val="Lijstnummering1"/>
        <w:numPr>
          <w:ilvl w:val="0"/>
          <w:numId w:val="21"/>
        </w:numPr>
      </w:pPr>
      <w:r>
        <w:t>Installatie van de software in test, acceptatie en/of productieomgevingen,</w:t>
      </w:r>
    </w:p>
    <w:p>
      <w:pPr>
        <w:pStyle w:val="Lijstnummering1"/>
        <w:numPr>
          <w:ilvl w:val="0"/>
          <w:numId w:val="21"/>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Actueel houden van externe software</w:t>
            </w:r>
          </w:p>
        </w:tc>
        <w:tc>
          <w:tcPr>
            <w:tcW w:type="auto" w:w="4535"/>
          </w:tcPr>
          <w:p>
            <w:pPr>
              <w:jc w:val="left"/>
            </w:pPr>
            <w:r>
              <w:t>RenovateBot</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p>
    <w:p>
      <w:pPr>
        <w:pStyle w:val="Lijstnummering1"/>
        <w:numPr>
          <w:ilvl w:val="0"/>
          <w:numId w:val="22"/>
        </w:numPr>
      </w:pPr>
      <w:r>
        <w:t>Proces met daily scrum, sprints, sprint planning, sprint review, sprint retrospective en sprint refinement,</w:t>
      </w:r>
    </w:p>
    <w:p>
      <w:pPr>
        <w:pStyle w:val="Lijstnummering1"/>
        <w:numPr>
          <w:ilvl w:val="0"/>
          <w:numId w:val="22"/>
        </w:numPr>
      </w:pPr>
      <w:r>
        <w:t>Definition of Ready en Definition of Done,</w:t>
      </w:r>
    </w:p>
    <w:p>
      <w:pPr>
        <w:pStyle w:val="Lijstnummering1"/>
        <w:numPr>
          <w:ilvl w:val="0"/>
          <w:numId w:val="22"/>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 (5.1),</w:t>
      </w:r>
    </w:p>
    <w:p>
      <w:pPr>
        <w:pStyle w:val="Lijstnummering1"/>
        <w:numPr>
          <w:ilvl w:val="0"/>
          <w:numId w:val="23"/>
        </w:numPr>
      </w:pPr>
      <w:r>
        <w:t>De functionele documentatie beschrijft gegevensmodellen, functionele indeling, koppelingen, berichtdefinities en workflows/processen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3"/>
        </w:numPr>
      </w:pPr>
      <w:r>
        <w:t>De product backlog bevat de bekende bugs en wensen (5.4),</w:t>
      </w:r>
    </w:p>
    <w:p>
      <w:pPr>
        <w:pStyle w:val="Lijstnummering1"/>
        <w:numPr>
          <w:ilvl w:val="0"/>
          <w:numId w:val="23"/>
        </w:numPr>
      </w:pPr>
      <w:r>
        <w:t>De broncode kent een gezonde balans tussen isolatie, cohesie en koppeling (6.1),</w:t>
      </w:r>
    </w:p>
    <w:p>
      <w:pPr>
        <w:pStyle w:val="Lijstnummering1"/>
        <w:numPr>
          <w:ilvl w:val="0"/>
          <w:numId w:val="23"/>
        </w:numPr>
      </w:pPr>
      <w:r>
        <w:t>De broncode heeft een beperkte mate van duplicatie (6.2),</w:t>
      </w:r>
    </w:p>
    <w:p>
      <w:pPr>
        <w:pStyle w:val="Lijstnummering1"/>
        <w:numPr>
          <w:ilvl w:val="0"/>
          <w:numId w:val="23"/>
        </w:numPr>
      </w:pPr>
      <w:r>
        <w:t>De broncode heeft een beperkte mate van complexiteit (6.3),</w:t>
      </w:r>
    </w:p>
    <w:p>
      <w:pPr>
        <w:pStyle w:val="Lijstnummering1"/>
        <w:numPr>
          <w:ilvl w:val="0"/>
          <w:numId w:val="23"/>
        </w:numPr>
      </w:pPr>
      <w:r>
        <w:t>De broncode bevat geen of een beperkt aantal niet-afgeronde werkzaamheden ("todo's") (6.4).</w:t>
      </w:r>
    </w:p>
    <w:p>
      <w:pPr>
        <w:pStyle w:val="Lijstnummering1"/>
        <w:numPr>
          <w:ilvl w:val="0"/>
          <w:numId w:val="23"/>
        </w:numPr>
      </w:pPr>
      <w:r>
        <w:t>De tests raken een voldoende groot deel van de broncode (code dekking) (7.1),</w:t>
      </w:r>
    </w:p>
    <w:p>
      <w:pPr>
        <w:pStyle w:val="Lijstnummering1"/>
        <w:numPr>
          <w:ilvl w:val="0"/>
          <w:numId w:val="23"/>
        </w:numPr>
      </w:pPr>
      <w:r>
        <w:t>De tests raken een voldoende groot deel van de functionaliteit (functionele dekking) (7.2),</w:t>
      </w:r>
    </w:p>
    <w:p>
      <w:pPr>
        <w:pStyle w:val="Lijstnummering1"/>
        <w:numPr>
          <w:ilvl w:val="0"/>
          <w:numId w:val="23"/>
        </w:numPr>
      </w:pPr>
      <w:r>
        <w:t>De onderkende productrisico's zijn gedekt (7.3),</w:t>
      </w:r>
    </w:p>
    <w:p>
      <w:pPr>
        <w:pStyle w:val="Lijstnummering1"/>
        <w:numPr>
          <w:ilvl w:val="0"/>
          <w:numId w:val="23"/>
        </w:numPr>
      </w:pPr>
      <w:r>
        <w:t>Er is een regressietest beschikbaar (7.4),</w:t>
      </w:r>
    </w:p>
    <w:p>
      <w:pPr>
        <w:pStyle w:val="Lijstnummering1"/>
        <w:numPr>
          <w:ilvl w:val="0"/>
          <w:numId w:val="23"/>
        </w:numPr>
      </w:pPr>
      <w:r>
        <w:t>Er is traceerbaarheid van eisen naar testgevallen (7.5), en</w:t>
      </w:r>
    </w:p>
    <w:p>
      <w:pPr>
        <w:pStyle w:val="Lijstnummering1"/>
        <w:numPr>
          <w:ilvl w:val="0"/>
          <w:numId w:val="23"/>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