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deze doelen te realiseren, ontwikkelt ICTU in samenwerking met </w:t>
      </w:r>
      <w:r>
        <w:rPr>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highlight w:val="yellow"/>
        </w:rPr>
        <w:t>{partijen}</w:t>
      </w:r>
      <w:r>
        <w:t xml:space="preserve">, waarbij ICTU zo goed mogelijk gebruik maakt van de bij deze partijen aanwezige kennis en producten. Dit vraagt, naast de inspanning van ICTU, ook substantiële inzet van medewerkers van </w:t>
      </w:r>
      <w:r>
        <w:rPr>
          <w:highlight w:val="yellow"/>
        </w:rPr>
        <w:t>{partijen}</w:t>
      </w:r>
      <w:r>
        <w:t>; zie hiervoor het hoofdstuk "Werkwijze".</w:t>
      </w:r>
    </w:p>
    <w:p>
      <w:r>
        <w:rPr>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Dit plan van aanpak is gebaseerd op de volgende documenten </w:t>
      </w:r>
      <w:r>
        <w:rPr>
          <w:highlight w:val="yellow"/>
        </w:rPr>
        <w:t>{pas aan en breid uit waar nodig}</w:t>
      </w:r>
      <w:r>
        <w:t>:</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highlight w:val="yellow"/>
        </w:rPr>
        <w:t>{projectresultaat}</w:t>
      </w:r>
      <w:r>
        <w:t xml:space="preserve"> te komen, levert ICTU in samenwerking met </w:t>
      </w:r>
      <w:r>
        <w:rPr>
          <w:highlight w:val="yellow"/>
        </w:rPr>
        <w:t>{partijen}</w:t>
      </w:r>
      <w:r>
        <w:t xml:space="preserve"> een aantal producten. Deze worden in dit hoofdstuk uitgewerkt. De producten komen tot stand door middel van een agile aanpak met een doorlooptijd van </w:t>
      </w:r>
      <w:r>
        <w:rPr>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highlight w:val="yellow"/>
        </w:rPr>
        <w:t>{bronnen, zoals PSA, BIA en PIA, indien beschikbaar}</w:t>
      </w:r>
      <w:r>
        <w:t>:</w:t>
      </w:r>
    </w:p>
    <w:p>
      <w:r>
        <w:rPr>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Business impact analysis (BIA)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Privacy impact assessment (PIA)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Globaal functioneel ontwerp (GFO)</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Interactie-ontwerp (UX)</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Softwarearchitectuurdocument (SAD)</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Infrastructuurarchitectuur (IA)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Product risico analyse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Mastertestplan (op basis van PRA)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Detailtestplan softwarerealisatie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Threat &amp; vulnerability assessment (TVA)</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Informatiebeveiligingsplan (IB-plan)</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Niet-functionele eisen (NFE)</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Kwaliteitsplan</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Geprioriteerde backlog met user stories</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Vastgesteld minimal viable product</w:t>
            </w:r>
          </w:p>
        </w:tc>
        <w:tc>
          <w:tcPr>
            <w:tcW w:type="auto" w:w="2267"/>
          </w:tcPr>
          <w:p>
            <w:pPr>
              <w:jc w:val="left"/>
            </w:pPr>
            <w:r>
              <w:rPr>
                <w:highlight w:val="yellow"/>
              </w:rPr>
              <w:t>{verantwoordelijke}</w:t>
            </w:r>
          </w:p>
        </w:tc>
        <w:tc>
          <w:tcPr>
            <w:tcW w:type="auto" w:w="2267"/>
          </w:tcPr>
          <w:p>
            <w:pPr>
              <w:jc w:val="left"/>
            </w:pPr>
            <w:r>
              <w:rPr>
                <w:highlight w:val="yellow"/>
              </w:rPr>
              <w:t>{penvoerder}</w:t>
            </w:r>
          </w:p>
        </w:tc>
        <w:tc>
          <w:tcPr>
            <w:tcW w:type="auto" w:w="2267"/>
          </w:tcPr>
          <w:p>
            <w:pPr>
              <w:jc w:val="left"/>
            </w:pPr>
            <w:r>
              <w:t xml:space="preserve">ICTU, </w:t>
            </w:r>
            <w:r>
              <w:rPr>
                <w:highlight w:val="yellow"/>
              </w:rPr>
              <w:t>{reviewers}</w:t>
            </w:r>
          </w:p>
        </w:tc>
      </w:tr>
      <w:tr>
        <w:tc>
          <w:tcPr>
            <w:tcW w:type="auto" w:w="2267"/>
          </w:tcPr>
          <w:p>
            <w:pPr>
              <w:jc w:val="left"/>
            </w:pPr>
            <w:r>
              <w:t>Wireframe, mockup, prototype, animatie</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highlight w:val="yellow"/>
              </w:rPr>
              <w:t>{reviewers}</w:t>
            </w:r>
          </w:p>
        </w:tc>
      </w:tr>
      <w:tr>
        <w:tc>
          <w:tcPr>
            <w:tcW w:type="auto" w:w="2267"/>
          </w:tcPr>
          <w:p>
            <w:pPr>
              <w:jc w:val="left"/>
            </w:pPr>
            <w:r>
              <w:t>Rapportage t.b.v. go/no-go besluit</w:t>
            </w:r>
          </w:p>
        </w:tc>
        <w:tc>
          <w:tcPr>
            <w:tcW w:type="auto" w:w="2267"/>
          </w:tcPr>
          <w:p>
            <w:pPr>
              <w:jc w:val="left"/>
            </w:pPr>
            <w:r>
              <w:rPr>
                <w:highlight w:val="yellow"/>
              </w:rPr>
              <w:t>{verantwoordelijke}</w:t>
            </w:r>
          </w:p>
        </w:tc>
        <w:tc>
          <w:tcPr>
            <w:tcW w:type="auto" w:w="2267"/>
          </w:tcPr>
          <w:p>
            <w:pPr>
              <w:jc w:val="left"/>
            </w:pPr>
            <w:r>
              <w:t>ICTU</w:t>
            </w:r>
          </w:p>
        </w:tc>
        <w:tc>
          <w:tcPr>
            <w:tcW w:type="auto" w:w="2267"/>
          </w:tcPr>
          <w:p>
            <w:pPr>
              <w:jc w:val="left"/>
            </w:pPr>
            <w:r>
              <w:rPr>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highlight w:val="yellow"/>
        </w:rPr>
        <w:t xml:space="preserve">{Tip: Neem bovenstaand overzicht op in een separaat document en gebruik dat in de sprints van de voorfase om bij elke sprintafsluiting de status van de te realiseren producten vast te stellen. Zie </w:t>
      </w:r>
      <w:hyperlink r:id="rId16">
        <w:r>
          <w:rPr>
            <w:rStyle w:val="Hyperlink"/>
          </w:rPr>
          <w:t>Template plan van aanpak voorfase producten</w:t>
        </w:r>
      </w:hyperlink>
      <w:r>
        <w:rPr>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{opdrachtgever}</w:t>
      </w:r>
      <w:r>
        <w:t xml:space="preserve"> gemonitord worden.</w:t>
      </w:r>
    </w:p>
    <w:p>
      <w:r>
        <w:t>Tijdens dit project wordt zoveel mogelijk agile gewerkt volgens de Scrum-aanpak. Dit vertaalt zich concreet in:</w:t>
      </w:r>
    </w:p>
    <w:p>
      <w:pPr>
        <w:pStyle w:val="Lijstopsomteken1"/>
        <w:numPr>
          <w:ilvl w:val="2"/>
        </w:numPr>
      </w:pPr>
      <w:r>
        <w:t xml:space="preserve">  Eén Scrumteam met medewerkers van </w:t>
      </w:r>
      <w:r>
        <w:rPr>
          <w:highlight w:val="yellow"/>
        </w:rPr>
        <w:t>{opdrachtgevende organisatie}</w:t>
      </w:r>
      <w:r>
        <w:t xml:space="preserve"> en </w:t>
      </w:r>
      <w:r>
        <w:rPr>
          <w:highlight w:val="yellow"/>
        </w:rPr>
        <w:t>{partijen}</w:t>
      </w:r>
      <w:r>
        <w:t xml:space="preserve"> en ICTU werkt minimaal </w:t>
      </w:r>
      <w:r>
        <w:rPr>
          <w:highlight w:val="yellow"/>
        </w:rPr>
        <w:t>{aantal}</w:t>
      </w:r>
      <w:r>
        <w:t xml:space="preserve"> dagdelen per week aan de gedefinieerde documenten.</w:t>
      </w:r>
    </w:p>
    <w:p>
      <w:pPr>
        <w:pStyle w:val="Lijstopsomteken1"/>
        <w:numPr>
          <w:ilvl w:val="2"/>
        </w:numPr>
      </w:pPr>
      <w:r>
        <w:t xml:space="preserve">  Er is een product owner door </w:t>
      </w:r>
      <w:r>
        <w:rPr>
          <w:highlight w:val="yellow"/>
        </w:rPr>
        <w:t>{opdrachtgevende organisatie}</w:t>
      </w:r>
      <w:r>
        <w:t xml:space="preserve"> aangesteld die de uiteindelijke inhoudelijke keuzes maakt.</w:t>
      </w:r>
    </w:p>
    <w:p>
      <w:pPr>
        <w:pStyle w:val="Lijstopsomteken1"/>
        <w:numPr>
          <w:ilvl w:val="2"/>
        </w:numPr>
      </w:pPr>
      <w:r>
        <w:t xml:space="preserve">  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2"/>
        </w:numPr>
      </w:pPr>
      <w:r>
        <w:t xml:space="preserve">  Nieuwe tussentijdse versies van documenten worden kortcyclisch opgeleverd, elke </w:t>
      </w:r>
      <w:r>
        <w:rPr>
          <w:highlight w:val="yellow"/>
        </w:rPr>
        <w:t>{termijn}</w:t>
      </w:r>
      <w:r>
        <w:t>.</w:t>
      </w:r>
    </w:p>
    <w:p>
      <w:pPr>
        <w:pStyle w:val="Lijstopsomteken1"/>
        <w:numPr>
          <w:ilvl w:val="2"/>
        </w:numPr>
      </w:pPr>
      <w:r>
        <w:t xml:space="preserve">  Alle tussentijdse versies worden gereviewd door </w:t>
      </w:r>
      <w:r>
        <w:rPr>
          <w:highlight w:val="yellow"/>
        </w:rPr>
        <w:t>{reviewers}</w:t>
      </w:r>
      <w:r>
        <w:t xml:space="preserve"> binnen de afgesproken termijn (maximaal </w:t>
      </w:r>
      <w:r>
        <w:rPr>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highlight w:val="yellow"/>
        </w:rPr>
        <w:t>{opdrachtgevende organisatie}</w:t>
      </w:r>
      <w:r>
        <w:t xml:space="preserve"> en </w:t>
      </w:r>
      <w:r>
        <w:rPr>
          <w:highlight w:val="yellow"/>
        </w:rPr>
        <w:t>{partijen}</w:t>
      </w:r>
      <w:r>
        <w:t xml:space="preserve"> en ICTU werken gezamenlijk aan de op te leveren documenten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highlight w:val="yellow"/>
        </w:rPr>
        <w:t>{opdrachtgevende organisatie}</w:t>
      </w:r>
      <w:r>
        <w:t xml:space="preserve"> en de beheerorganisatie:</w:t>
      </w:r>
    </w:p>
    <w:p>
      <w:pPr>
        <w:pStyle w:val="Lijstopsomteken1"/>
        <w:numPr>
          <w:ilvl w:val="2"/>
        </w:numPr>
      </w:pPr>
      <w:r>
        <w:t xml:space="preserve">  het architectuuroverleg,</w:t>
      </w:r>
    </w:p>
    <w:p>
      <w:pPr>
        <w:pStyle w:val="Lijstopsomteken1"/>
        <w:numPr>
          <w:ilvl w:val="2"/>
        </w:numPr>
      </w:pPr>
      <w:r>
        <w:t xml:space="preserve">  het informatiebeveiligingsoverleg,</w:t>
      </w:r>
    </w:p>
    <w:p>
      <w:pPr>
        <w:pStyle w:val="Lijstopsomteken1"/>
        <w:numPr>
          <w:ilvl w:val="2"/>
        </w:numPr>
      </w:pPr>
      <w:r>
        <w:t xml:space="preserve">  het beheeroverleg,</w:t>
      </w:r>
    </w:p>
    <w:p>
      <w:pPr>
        <w:pStyle w:val="Lijstopsomteken1"/>
        <w:numPr>
          <w:ilvl w:val="2"/>
        </w:numPr>
      </w:pPr>
      <w:r>
        <w:t xml:space="preserve">  </w:t>
      </w: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2"/>
        </w:numPr>
      </w:pPr>
      <w:r>
        <w:t xml:space="preserve">  heldere structuur en onderlinge samenhang van de documenten;</w:t>
      </w:r>
    </w:p>
    <w:p>
      <w:pPr>
        <w:pStyle w:val="Lijstopsomteken1"/>
        <w:numPr>
          <w:ilvl w:val="2"/>
        </w:numPr>
      </w:pPr>
      <w:r>
        <w:t xml:space="preserve">  “fitness for use” van de producten; Dit betekent dat deze producten geschikt zijn om een Scrumontwikkeltraject te starten en te sturen;</w:t>
      </w:r>
    </w:p>
    <w:p>
      <w:pPr>
        <w:pStyle w:val="Lijstopsomteken1"/>
        <w:numPr>
          <w:ilvl w:val="2"/>
        </w:numPr>
      </w:pPr>
      <w:r>
        <w:t xml:space="preserve">  interne en onderlinge consistentie;</w:t>
      </w:r>
    </w:p>
    <w:p>
      <w:pPr>
        <w:pStyle w:val="Lijstopsomteken1"/>
        <w:numPr>
          <w:ilvl w:val="2"/>
        </w:numPr>
      </w:pPr>
      <w:r>
        <w:t xml:space="preserve">  volledigheid.</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2"/>
        </w:numPr>
      </w:pPr>
      <w:r>
        <w:t xml:space="preserve">  De producten worden opgesteld tijdens verschillende werksessies. Aanwezigheid bij de werksessies (welke zoveel mogelijk tijdens de dagdelen waarop </w:t>
      </w:r>
      <w:r>
        <w:rPr>
          <w:highlight w:val="yellow"/>
        </w:rPr>
        <w:t>{opdrachtgevende organisatie}</w:t>
      </w:r>
      <w:r>
        <w:t xml:space="preserve"> en </w:t>
      </w:r>
      <w:r>
        <w:rPr>
          <w:highlight w:val="yellow"/>
        </w:rPr>
        <w:t>{partijen}</w:t>
      </w:r>
      <w:r>
        <w:t xml:space="preserve"> en ICTU samenwerken worden gepland) en indien gewenst aan vervolgafspraken in dat kader;</w:t>
      </w:r>
    </w:p>
    <w:p>
      <w:pPr>
        <w:pStyle w:val="Lijstopsomteken1"/>
        <w:numPr>
          <w:ilvl w:val="2"/>
        </w:numPr>
      </w:pPr>
      <w:r>
        <w:t xml:space="preserve">  Actief bijdragen aan het schrijven en reviewen van de producten;</w:t>
      </w:r>
    </w:p>
    <w:p>
      <w:pPr>
        <w:pStyle w:val="Lijstopsomteken1"/>
        <w:numPr>
          <w:ilvl w:val="2"/>
        </w:numPr>
      </w:pPr>
      <w:r>
        <w:t xml:space="preserve">  Buiten de workshops uitzoeken van onduidelijkheden en binnen de eigen organisatie(s) op zoek gaan naar antwoorden.</w:t>
      </w:r>
    </w:p>
    <w:p>
      <w:r>
        <w:t xml:space="preserve">Onderstaand is de verwachte inzet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 xml:space="preserve">Uitvoeren TVA, opstellen BIA en IB-plan, reviewen </w:t>
            </w:r>
            <w:r>
              <w:rPr>
                <w:highlight w:val="yellow"/>
              </w:rPr>
              <w:t>{documenten}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 xml:space="preserve">Opstellen PIA, reviewen </w:t>
            </w:r>
            <w:r>
              <w:rPr>
                <w:highlight w:val="yellow"/>
              </w:rPr>
              <w:t>{documenten}</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Inhoudelijk sturing / prioritering, opstellen backlog, NFE, minimal viable product, reviewen GFO en prototype</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highlight w:val="yellow"/>
              </w:rPr>
              <w:t>{beheerorganisatie}</w:t>
            </w:r>
            <w:r>
              <w:t>)</w:t>
            </w:r>
          </w:p>
        </w:tc>
        <w:tc>
          <w:tcPr>
            <w:tcW w:type="auto" w:w="3023"/>
          </w:tcPr>
          <w:p>
            <w:pPr>
              <w:jc w:val="left"/>
            </w:pPr>
            <w:r>
              <w:rPr>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highlight w:val="yellow"/>
        </w:rPr>
        <w:t>{Verwijs naar dit hoofdstuk in hoofdstuk 5 van het voorstel inclusief POK}</w:t>
      </w:r>
    </w:p>
    <w:p>
      <w:r>
        <w:t xml:space="preserve">De start van het project vindt uiterlijk </w:t>
      </w:r>
      <w:r>
        <w:rPr>
          <w:highlight w:val="yellow"/>
        </w:rPr>
        <w:t>{aantal}</w:t>
      </w:r>
      <w:r>
        <w:t xml:space="preserve"> weken na ondertekening van het eveneens verstuurde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Scope-uitbreiding, gebrek aan focus</w:t>
            </w:r>
          </w:p>
        </w:tc>
        <w:tc>
          <w:tcPr>
            <w:tcW w:type="auto" w:w="4535"/>
          </w:tcPr>
          <w:p>
            <w:pPr>
              <w:jc w:val="left"/>
            </w:pPr>
            <w:r>
              <w:t xml:space="preserve">Scope voorfase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 xml:space="preserve">Penvoerder SAD, reviewen </w:t>
            </w:r>
            <w:r>
              <w:rPr>
                <w:highlight w:val="yellow"/>
              </w:rPr>
              <w:t>{documenten}</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 xml:space="preserve">Penvoerder GFO, reviewen </w:t>
            </w:r>
            <w:r>
              <w:rPr>
                <w:highlight w:val="yellow"/>
              </w:rPr>
              <w:t>{documenten}</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 xml:space="preserve">Opstellen logisch datamodel en fysiek database ontwerp, reviewen </w:t>
            </w:r>
            <w:r>
              <w:rPr>
                <w:highlight w:val="yellow"/>
              </w:rPr>
              <w:t>{documenten}</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opstellen UX-richtlijnen, maken prototype </w:t>
            </w:r>
            <w:r>
              <w:rPr>
                <w:highlight w:val="yellow"/>
              </w:rPr>
              <w:t>{of wireframe/mockup/animatie}</w:t>
            </w:r>
            <w:r>
              <w:t xml:space="preserve">, reviewen </w:t>
            </w:r>
            <w:r>
              <w:rPr>
                <w:highlight w:val="yellow"/>
              </w:rPr>
              <w:t>{documenten}</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Privacy expert</w:t>
            </w:r>
          </w:p>
        </w:tc>
        <w:tc>
          <w:tcPr>
            <w:tcW w:type="auto" w:w="3023"/>
          </w:tcPr>
          <w:p>
            <w:pPr>
              <w:jc w:val="left"/>
            </w:pPr>
            <w:r>
              <w:rPr>
                <w:highlight w:val="yellow"/>
              </w:rPr>
              <w:t>{x}</w:t>
            </w:r>
            <w:r>
              <w:t xml:space="preserve"> uur</w:t>
            </w:r>
          </w:p>
        </w:tc>
        <w:tc>
          <w:tcPr>
            <w:tcW w:type="auto" w:w="3023"/>
          </w:tcPr>
          <w:p>
            <w:pPr>
              <w:jc w:val="left"/>
            </w:pPr>
            <w:r>
              <w:t xml:space="preserve">Penvoerder </w:t>
            </w:r>
            <w:r>
              <w:rPr>
                <w:highlight w:val="yellow"/>
              </w:rPr>
              <w:t>{documenten}</w:t>
            </w:r>
            <w:r>
              <w:t xml:space="preserve">, reviewen </w:t>
            </w:r>
            <w:r>
              <w:rPr>
                <w:highlight w:val="yellow"/>
              </w:rPr>
              <w:t>{documenten}</w:t>
            </w:r>
          </w:p>
        </w:tc>
      </w:tr>
      <w:tr>
        <w:tc>
          <w:tcPr>
            <w:tcW w:type="auto" w:w="3023"/>
          </w:tcPr>
          <w:p>
            <w:pPr>
              <w:jc w:val="left"/>
            </w:pPr>
            <w:r>
              <w:t>Testmanager</w:t>
            </w:r>
          </w:p>
        </w:tc>
        <w:tc>
          <w:tcPr>
            <w:tcW w:type="auto" w:w="3023"/>
          </w:tcPr>
          <w:p>
            <w:pPr>
              <w:jc w:val="left"/>
            </w:pPr>
            <w:r>
              <w:rPr>
                <w:highlight w:val="yellow"/>
              </w:rPr>
              <w:t>{x}</w:t>
            </w:r>
            <w:r>
              <w:t xml:space="preserve"> uur</w:t>
            </w:r>
          </w:p>
        </w:tc>
        <w:tc>
          <w:tcPr>
            <w:tcW w:type="auto" w:w="3023"/>
          </w:tcPr>
          <w:p>
            <w:pPr>
              <w:jc w:val="left"/>
            </w:pPr>
            <w:r>
              <w:t xml:space="preserve">Penvoerder detailtestplan softwarerealisatie, reviewen </w:t>
            </w:r>
            <w:r>
              <w:rPr>
                <w:highlight w:val="yellow"/>
              </w:rPr>
              <w:t>{documenten}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 xml:space="preserve">Penvoerder kwaliteitsplan, reviewen </w:t>
            </w:r>
            <w:r>
              <w:rPr>
                <w:highlight w:val="yellow"/>
              </w:rPr>
              <w:t>{documenten}</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 xml:space="preserve">Opstellen plan van aanpak voorfase en plan van aanpak realisatiefase, reviewen </w:t>
            </w:r>
            <w:r>
              <w:rPr>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doc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11-en-157265"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