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Kwaliteitsplan</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05-01-2026</w:t>
      </w:r>
    </w:p>
    <w:p>
      <w:r>
        <w:t xml:space="preserve">Verbeterpunten t.a.v. deze template graag melden via </w:t>
      </w:r>
      <w:hyperlink r:id="rId15">
        <w:r>
          <w:rPr>
            <w:rStyle w:val="Hyperlink"/>
          </w:rPr>
          <w:t>GitHub</w:t>
        </w:r>
      </w:hyperlink>
      <w:r>
        <w:t>.</w:t>
      </w:r>
    </w:p>
    <w:p>
      <w:pPr>
        <w:pStyle w:val="Kop1"/>
      </w:pPr>
      <w:r>
        <w:t>Managementsamenvatting</w:t>
      </w:r>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color w:val="000000"/>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color w:val="000000"/>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color w:val="000000"/>
          <w:highlight w:val="yellow"/>
        </w:rPr>
        <w:t>{opdrachtgevende organisatie}</w:t>
      </w:r>
      <w:r>
        <w:t xml:space="preserve"> specifieke eisen stelt aan de kwaliteitsaspecten </w:t>
      </w:r>
      <w:r>
        <w:rPr>
          <w:color w:val="000000"/>
          <w:highlight w:val="yellow"/>
        </w:rPr>
        <w:t>{kwaliteitsaspecten}</w:t>
      </w:r>
      <w:r>
        <w:t xml:space="preserve"> zullen de volgende extra kwaliteitsmaatregelen worden getroffen om deze eisen te borgen:</w:t>
      </w:r>
    </w:p>
    <w:p>
      <w:pPr>
        <w:pStyle w:val="Lijstopsomteken1"/>
        <w:numPr>
          <w:ilvl w:val="0"/>
        </w:numPr>
      </w:pPr>
      <w:r>
        <w:rPr>
          <w:color w:val="000000"/>
          <w:highlight w:val="yellow"/>
        </w:rPr>
        <w:t>{Projectspecifieke kwaliteitsmaatregel 1}</w:t>
      </w:r>
    </w:p>
    <w:p>
      <w:pPr>
        <w:pStyle w:val="Lijstopsomteken1"/>
        <w:numPr>
          <w:ilvl w:val="0"/>
        </w:numPr>
      </w:pPr>
      <w:r>
        <w:rPr>
          <w:color w:val="000000"/>
          <w:highlight w:val="yellow"/>
        </w:rPr>
        <w:t>{Projectspecifieke kwaliteitsmaatregel 2}</w:t>
      </w:r>
    </w:p>
    <w:p>
      <w:pPr>
        <w:pStyle w:val="Kop1"/>
      </w:pPr>
      <w:r>
        <w:t>Inleiding</w:t>
      </w:r>
    </w:p>
    <w:p>
      <w:pPr>
        <w:pStyle w:val="Kop2"/>
      </w:pPr>
      <w:r>
        <w:t>Over dit document</w:t>
      </w:r>
    </w:p>
    <w:p>
      <w:r>
        <w:t xml:space="preserve">Kwaliteitsmanagement is gericht op het borgen dat het projectresultaat voldoet aan de kwaliteitseisen van </w:t>
      </w:r>
      <w:r>
        <w:rPr>
          <w:color w:val="000000"/>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product backlog, zal de product owner het kwaliteitsplan ook accorderen.</w:t>
      </w:r>
    </w:p>
    <w:p>
      <w:pPr>
        <w:pStyle w:val="Kop2"/>
      </w:pPr>
      <w:r>
        <w:t>Doelgroep</w:t>
      </w:r>
    </w:p>
    <w:p>
      <w:r>
        <w:t xml:space="preserve">Doelgroep van dit kwaliteitsplan zijn opdrachtgever en product owner van </w:t>
      </w:r>
      <w:r>
        <w:rPr>
          <w:color w:val="000000"/>
          <w:highlight w:val="yellow"/>
        </w:rPr>
        <w:t>{opdrachtgevende organisatie}</w:t>
      </w:r>
      <w:r>
        <w:t xml:space="preserve">, beheerders van </w:t>
      </w:r>
      <w:r>
        <w:rPr>
          <w:color w:val="000000"/>
          <w:highlight w:val="yellow"/>
        </w:rPr>
        <w:t>{beheerorganisatie}</w:t>
      </w:r>
      <w:r>
        <w:t xml:space="preserve"> en ontwikkelaars en projectmanagement van ICTU.</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Input voor dit kwaliteitsplan, en dan met name paragraaf 5.16, zijn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(PSA)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(NFE)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 xml:space="preserve">Hoofdstuk 3 beschrijft de kwaliteitsmaatregelen die ICTU treft tijdens alles fases van de uitvoering van dit project. Hoofdstuk 4, 5 en 6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paragraaf 2.4 staan beschreven in paragraaf 5.16.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beschrijft hoe ICTU Jira toepast binnen softwareontwikkelprojecten. Bijlage E bevat een lijst met handmatige controles die de kwaliteitsmanager tijdens het project periodiek uitvoert om de uitvoering van kwaliteitsmaatregelen te waarborgen.</w:t>
      </w:r>
    </w:p>
    <w:p>
      <w:pPr>
        <w:pStyle w:val="Kop1"/>
      </w:pPr>
      <w:r>
        <w:t>Kwaliteitsmaatregelen tijdens het project</w:t>
      </w:r>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16">
        <w:r>
          <w:rPr>
            <w:rStyle w:val="Hyperlink"/>
          </w:rPr>
          <w:t>https://www.ictu.nl/kwaliteitsaanpak</w:t>
        </w:r>
      </w:hyperlink>
      <w:r>
        <w:t>.</w:t>
      </w:r>
    </w:p>
    <w:p>
      <w:pPr>
        <w:pStyle w:val="Kop2"/>
      </w:pPr>
      <w:r>
        <w:t>Projectmanagement</w:t>
      </w:r>
    </w:p>
    <w:p>
      <w:pPr>
        <w:pStyle w:val="Kop3"/>
      </w:pPr>
      <w:r>
        <w:t>Wekelijks projectoverleg</w:t>
      </w:r>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pPr>
        <w:pStyle w:val="Kop3"/>
      </w:pPr>
      <w:r>
        <w:t>Actie- en besluitenlijst</w:t>
      </w:r>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pPr>
        <w:pStyle w:val="Kop3"/>
      </w:pPr>
      <w:r>
        <w:t>Risicomanagement</w:t>
      </w:r>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pPr>
        <w:pStyle w:val="Kop3"/>
      </w:pPr>
      <w:r>
        <w:t>Ontwikkelproces</w:t>
      </w:r>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pPr>
        <w:pStyle w:val="Kop3"/>
      </w:pPr>
      <w:r>
        <w:t>Bewaken van kwaliteitsnormen</w:t>
      </w:r>
    </w:p>
    <w:p>
      <w:r>
        <w:t xml:space="preserve">De kwaliteitsmanager rapporteert </w:t>
      </w:r>
      <w:r>
        <w:rPr>
          <w:color w:val="000000"/>
          <w:highlight w:val="yellow"/>
        </w:rPr>
        <w:t>{frequentie/als onderdeel van de managementrapportage}</w:t>
      </w:r>
      <w:r>
        <w:t xml:space="preserve"> over het al dan niet behalen van de kwaliteitsnormen. De rapportage bestaat uit </w:t>
      </w:r>
      <w:r>
        <w:rPr>
          <w:color w:val="000000"/>
          <w:highlight w:val="yellow"/>
        </w:rPr>
        <w:t>{geschreven rapportage en/of Quality-time export}</w:t>
      </w:r>
      <w:r>
        <w:t xml:space="preserve">. De kwaliteitsmanager verstuurt de rapportage per mail aan </w:t>
      </w:r>
      <w:r>
        <w:rPr>
          <w:color w:val="000000"/>
          <w:highlight w:val="yellow"/>
        </w:rPr>
        <w:t>{ontvangers}</w:t>
      </w:r>
      <w:r>
        <w:t xml:space="preserve"> en archiveert de verstuurde rapportages </w:t>
      </w:r>
      <w:r>
        <w:rPr>
          <w:color w:val="000000"/>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color w:val="000000"/>
          <w:highlight w:val="yellow"/>
        </w:rPr>
        <w:t>{opdrachtgevende organisatie}</w:t>
      </w:r>
      <w:r>
        <w:t>, de beheerorganisatie en ICTU zorgen er gezamenlijk voor dat de gewenste uitbreidingen worden gerealiseerd.</w:t>
      </w:r>
    </w:p>
    <w:p>
      <w:pPr>
        <w:pStyle w:val="Kop2"/>
      </w:pPr>
      <w:r>
        <w:t>Projectdocumenten</w:t>
      </w:r>
    </w:p>
    <w:p>
      <w:pPr>
        <w:pStyle w:val="Kop3"/>
      </w:pPr>
      <w:r>
        <w:t>Versiebeheer documenten</w:t>
      </w:r>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color w:val="000000"/>
          <w:highlight w:val="yellow"/>
        </w:rPr>
        <w:t>{Git, SharePoint, Samenwerkingsruimte}</w:t>
      </w:r>
      <w:r>
        <w:t>.</w:t>
      </w:r>
    </w:p>
    <w:p>
      <w:r>
        <w:t>Bij elk formele release moeten de documenten geactualiseerd zijn en formeel opgeleverd worden.</w:t>
      </w:r>
    </w:p>
    <w:p>
      <w:pPr>
        <w:pStyle w:val="Kop3"/>
      </w:pPr>
      <w:r>
        <w:t>Documentreview</w:t>
      </w:r>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pPr>
        <w:pStyle w:val="Kop1"/>
      </w:pPr>
      <w:r>
        <w:t>Kwaliteitsmaatregelen voorfase</w:t>
      </w:r>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color w:val="000000"/>
          <w:highlight w:val="yellow"/>
        </w:rPr>
        <w:t>{opdrachtgevende organisatie}</w:t>
      </w:r>
      <w:r>
        <w:t xml:space="preserve"> zorgt dat het project bij de start van de voorfase inzicht heeft in de informatie die typisch wordt vastgelegd in een projectstartarchitectuur, business impact analyse en data protection impact assessment. Waar nodig werkt </w:t>
      </w:r>
      <w:r>
        <w:rPr>
          <w:color w:val="000000"/>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pPr>
        <w:pStyle w:val="Kop2"/>
      </w:pPr>
      <w:r>
        <w:t>Belanghebbenden</w:t>
      </w:r>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product backlog en NFE-document.</w:t>
      </w:r>
    </w:p>
    <w:p>
      <w:r>
        <w:t xml:space="preserve">De tijdens de voorfase geïdentificeerde eisen vormen het startpunt van </w:t>
      </w:r>
      <w:r>
        <w:rPr>
          <w:color w:val="000000"/>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pPr>
        <w:pStyle w:val="Kop2"/>
      </w:pPr>
      <w:r>
        <w:t>Verwerking eisen</w:t>
      </w:r>
    </w:p>
    <w:p>
      <w:pPr>
        <w:pStyle w:val="Kop3"/>
      </w:pPr>
      <w:r>
        <w:t>Functionele eisen</w:t>
      </w:r>
    </w:p>
    <w:p>
      <w:r>
        <w:t xml:space="preserve">Het programma van eisen en de projectstartarchitectuur, beide opgesteld door </w:t>
      </w:r>
      <w:r>
        <w:rPr>
          <w:color w:val="000000"/>
          <w:highlight w:val="yellow"/>
        </w:rPr>
        <w:t>{opdrachtgevende organisatie}</w:t>
      </w:r>
      <w:r>
        <w:t>, zijn de basis voor de op te leveren ICTU-documenten, zoals architectuur en ontwerpdocumenten.</w:t>
      </w:r>
    </w:p>
    <w:p>
      <w:pPr>
        <w:pStyle w:val="Kop3"/>
      </w:pPr>
      <w:r>
        <w:t>Niet-Functionele eisen</w:t>
      </w:r>
    </w:p>
    <w:p>
      <w:r>
        <w:t>Niet-functionele eisen aan het te ontwikkelen systeem worden vastgelegd op basis van de projectstartarchitectuur en aan de hand van de NEN-ISO/IEC 25010:2023-standaard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color w:val="000000"/>
          <w:highlight w:val="yellow"/>
        </w:rPr>
        <w:t>{in geval van operationeel en/of applicatiebeheer:}</w:t>
      </w:r>
      <w:r>
        <w:t xml:space="preserve"> beheerd dat deze de BIO-compliance van </w:t>
      </w:r>
      <w:r>
        <w:rPr>
          <w:color w:val="000000"/>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r>
        <w:t>Toegankelijkheidstesten</w:t>
      </w:r>
      <w:r>
        <w:t>.</w:t>
      </w:r>
    </w:p>
    <w:p>
      <w:pPr>
        <w:pStyle w:val="Lijstopsomteken1"/>
        <w:numPr>
          <w:ilvl w:val="0"/>
        </w:numPr>
      </w:pPr>
      <w:r>
        <w:t xml:space="preserve">Performance- en securityeisen worden via performance- en securitytests geborgd, zie de kwaliteitsmaatregelen in paragraaf </w:t>
      </w:r>
      <w:r>
        <w:t>Testen</w:t>
      </w:r>
      <w:r>
        <w:t>. Voor de borging van andere niet-functionele eisen moeten projectspecifieke maatregelen getroffen worden. Deze worden in dit kwaliteitsplan opgenomen.</w:t>
      </w:r>
    </w:p>
    <w:p>
      <w:pPr>
        <w:pStyle w:val="Lijstopsomteken1"/>
        <w:numPr>
          <w:ilvl w:val="0"/>
        </w:numPr>
      </w:pPr>
      <w:r>
        <w:rPr>
          <w:color w:val="000000"/>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pPr>
        <w:pStyle w:val="Kop3"/>
      </w:pPr>
      <w:r>
        <w:t>Compleetheid deliverables voorfase</w:t>
      </w:r>
    </w:p>
    <w:p>
      <w:r>
        <w:t xml:space="preserve">In aanvulling op de maatregelen met betrekking tot reviews, zie paragraaf </w:t>
      </w:r>
      <w:r>
        <w:t>Documentreview</w:t>
      </w:r>
      <w:r>
        <w:t>, reviewt de kwaliteitsmanager de deliverables van de voorfase op compleetheid. Hiervoor vormt de ICTU Kwaliteitsaanpak Softwareontwikkeling het referentiekader.</w:t>
      </w:r>
    </w:p>
    <w:p>
      <w:pPr>
        <w:pStyle w:val="Kop3"/>
      </w:pPr>
      <w:r>
        <w:t>Tracering eisen</w:t>
      </w:r>
    </w:p>
    <w:p>
      <w:r>
        <w:rPr>
          <w:color w:val="000000"/>
          <w:highlight w:val="yellow"/>
        </w:rPr>
        <w:t>{Als de eisen traceerbaar moeten zijn vanuit product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pPr>
        <w:pStyle w:val="Kop1"/>
      </w:pPr>
      <w:r>
        <w:t>Kwaliteitsmaatregelen realisatiefase</w:t>
      </w:r>
    </w:p>
    <w:p>
      <w:r>
        <w:t>De onderstaande kwaliteitsmaatregelen zijn van toepassing gedurende de realisatiefase.</w:t>
      </w:r>
    </w:p>
    <w:p>
      <w:pPr>
        <w:pStyle w:val="Kop2"/>
      </w:pPr>
      <w:r>
        <w:t>Entry- en exitcriteria</w:t>
      </w:r>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pPr>
        <w:pStyle w:val="Kop3"/>
      </w:pPr>
      <w:r>
        <w:t>Definition of Ready</w:t>
      </w:r>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color w:val="000000"/>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color w:val="000000"/>
          <w:highlight w:val="yellow"/>
        </w:rPr>
        <w:t>{Zie de bijlage "Gebruik van Jira" voor meer informatie.}</w:t>
      </w:r>
    </w:p>
    <w:p>
      <w:pPr>
        <w:pStyle w:val="Lijstnummering1"/>
        <w:numPr>
          <w:ilvl w:val="0"/>
          <w:numId w:val="18"/>
        </w:numPr>
      </w:pPr>
      <w:r>
        <w:t xml:space="preserve">De story voldoet aan de </w:t>
      </w:r>
      <w:hyperlink r:id="rId17">
        <w:r>
          <w:rPr>
            <w:rStyle w:val="Hyperlink"/>
          </w:rPr>
          <w:t>INVEST-criteria</w:t>
        </w:r>
      </w:hyperlink>
      <w:r>
        <w:t>.</w:t>
      </w:r>
    </w:p>
    <w:p>
      <w:pPr>
        <w:pStyle w:val="Kop3"/>
      </w:pPr>
      <w:r>
        <w:t>Definition of Done</w:t>
      </w:r>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color w:val="000000"/>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pPr>
        <w:pStyle w:val="Kop3"/>
      </w:pPr>
      <w:r>
        <w:t>Vrijgaveadvies</w:t>
      </w:r>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color w:val="000000"/>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pPr>
        <w:pStyle w:val="Kop3"/>
      </w:pPr>
      <w:r>
        <w:t>Release notes</w:t>
      </w:r>
    </w:p>
    <w:p>
      <w:r>
        <w:t xml:space="preserve">Voor elke release stelt het project release notes op, een overzicht van de wijzigingen in de release. De release notes worden opgesteld door </w:t>
      </w:r>
      <w:r>
        <w:rPr>
          <w:color w:val="000000"/>
          <w:highlight w:val="yellow"/>
        </w:rPr>
        <w:t>{rol}</w:t>
      </w:r>
      <w:r>
        <w:t xml:space="preserve"> namens ICTU.</w:t>
      </w:r>
    </w:p>
    <w:p>
      <w:pPr>
        <w:pStyle w:val="Kop2"/>
      </w:pPr>
      <w:r>
        <w:t>ICTU-kwaliteitssysteem</w:t>
      </w:r>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18">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color w:val="000000"/>
          <w:highlight w:val="yellow"/>
        </w:rPr>
        <w:t>{Als operationeel beheer onderdeel is van de dienstverlening:}</w:t>
      </w:r>
      <w:r>
        <w:t xml:space="preserve"> Het project gebruikt </w:t>
      </w:r>
      <w:r>
        <w:rPr>
          <w:color w:val="000000"/>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bijlage E.</w:t>
      </w:r>
    </w:p>
    <w:p>
      <w:pPr>
        <w:pStyle w:val="Kop2"/>
      </w:pPr>
      <w:r>
        <w:t>Kwaliteit van de broncode</w:t>
      </w:r>
    </w:p>
    <w:p>
      <w:pPr>
        <w:pStyle w:val="Kop3"/>
      </w:pPr>
      <w:r>
        <w:t>Codeerstandaard</w:t>
      </w:r>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t>Python</w:t>
            </w:r>
          </w:p>
        </w:tc>
        <w:tc>
          <w:tcPr>
            <w:tcW w:type="auto" w:w="3023"/>
          </w:tcPr>
          <w:p>
            <w:pPr>
              <w:jc w:val="left"/>
            </w:pPr>
            <w:hyperlink r:id="rId19">
              <w:r>
                <w:rPr>
                  <w:rStyle w:val="Hyperlink"/>
                </w:rPr>
                <w:t>PEP-8</w:t>
              </w:r>
            </w:hyperlink>
          </w:p>
        </w:tc>
        <w:tc>
          <w:tcPr>
            <w:tcW w:type="auto" w:w="3023"/>
          </w:tcPr>
          <w:p>
            <w:pPr>
              <w:jc w:val="left"/>
            </w:pPr>
            <w:r>
              <w:t>Ruff</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{codeerstandaard}</w:t>
            </w:r>
          </w:p>
        </w:tc>
        <w:tc>
          <w:tcPr>
            <w:tcW w:type="auto" w:w="3023"/>
          </w:tcPr>
          <w:p>
            <w:pPr>
              <w:jc w:val="left"/>
            </w:pPr>
            <w:r>
              <w:rPr>
                <w:color w:val="000000"/>
                <w:highlight w:val="yellow"/>
              </w:rPr>
              <w:t>{broncodereview}</w:t>
            </w:r>
          </w:p>
        </w:tc>
      </w:tr>
    </w:tbl>
    <w:p>
      <w:r>
        <w:t>De keuze van programmeertalen en andere technologie staat beschreven in het SAD.</w:t>
      </w:r>
    </w:p>
    <w:p>
      <w:pPr>
        <w:pStyle w:val="Kop3"/>
      </w:pPr>
      <w:r>
        <w:t>Linters, formatters, checkers</w:t>
      </w:r>
    </w:p>
    <w:p>
      <w:r>
        <w:t xml:space="preserve">Ontwikkelaars in het project gebruiken de volgende tools in hun IDE (Integrated Development Environment) </w:t>
      </w:r>
      <w:r>
        <w:rPr>
          <w:color w:val="000000"/>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{Tool}</w:t>
            </w:r>
          </w:p>
        </w:tc>
        <w:tc>
          <w:tcPr>
            <w:tcW w:type="auto" w:w="3023"/>
          </w:tcPr>
          <w:p>
            <w:pPr>
              <w:jc w:val="left"/>
            </w:pPr>
            <w:r>
              <w:rPr>
                <w:color w:val="000000"/>
                <w:highlight w:val="yellow"/>
              </w:rPr>
              <w:t>{Soort}</w:t>
            </w:r>
          </w:p>
        </w:tc>
      </w:tr>
    </w:tbl>
    <w:p>
      <w:r>
        <w:t xml:space="preserve">De configuratie van de tools wordt </w:t>
      </w:r>
      <w:r>
        <w:rPr>
          <w:color w:val="000000"/>
          <w:highlight w:val="yellow"/>
        </w:rPr>
        <w:t>{wel/niet}</w:t>
      </w:r>
      <w:r>
        <w:t xml:space="preserve"> gedeeld in de broncode-repository.</w:t>
      </w:r>
    </w:p>
    <w:p>
      <w:pPr>
        <w:pStyle w:val="Kop3"/>
      </w:pPr>
      <w:r>
        <w:t>Broncodereviews</w:t>
      </w:r>
    </w:p>
    <w:p>
      <w:r>
        <w:t>Het project hanteert de volgende werkwijze voor broncodereviews:</w:t>
      </w:r>
    </w:p>
    <w:p>
      <w:pPr>
        <w:pStyle w:val="Lijstopsomteken1"/>
        <w:numPr>
          <w:ilvl w:val="0"/>
        </w:numPr>
      </w:pPr>
      <w:r>
        <w:t xml:space="preserve">Elke merge request wordt door minimaal </w:t>
      </w:r>
      <w:r>
        <w:rPr>
          <w:color w:val="000000"/>
          <w:highlight w:val="yellow"/>
        </w:rPr>
        <w:t>{X}</w:t>
      </w:r>
      <w:r>
        <w:t xml:space="preserve"> ontwikkelaar(s) gereviewed.</w:t>
      </w:r>
    </w:p>
    <w:p>
      <w:pPr>
        <w:pStyle w:val="Lijstopsomteken1"/>
        <w:numPr>
          <w:ilvl w:val="0"/>
        </w:numPr>
      </w:pPr>
      <w:r>
        <w:t xml:space="preserve">Er zijn </w:t>
      </w:r>
      <w:r>
        <w:rPr>
          <w:color w:val="000000"/>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color w:val="000000"/>
          <w:highlight w:val="yellow"/>
        </w:rPr>
        <w:t>{ontwikkelaar/reviewer}</w:t>
      </w:r>
      <w:r>
        <w:t>.</w:t>
      </w:r>
    </w:p>
    <w:p>
      <w:r>
        <w:t>Quality-time bewaakt of de reviews hebben plaatsgevonden.</w:t>
      </w:r>
    </w:p>
    <w:p>
      <w:r>
        <w:t>Gebruik deze checklist voor het uitvoeren van de broncodereviews:</w:t>
      </w:r>
    </w:p>
    <w:p>
      <w:pPr>
        <w:pStyle w:val="Lijstnummering1"/>
        <w:numPr>
          <w:ilvl w:val="0"/>
          <w:numId w:val="21"/>
        </w:numPr>
      </w:pPr>
      <w:r>
        <w:t>Voorbereiden</w:t>
      </w:r>
    </w:p>
    <w:p>
      <w:pPr>
        <w:pStyle w:val="Lijstnummering1"/>
        <w:numPr>
          <w:ilvl w:val="1"/>
          <w:numId w:val="22"/>
        </w:numPr>
      </w:pPr>
      <w:r>
        <w:t>Lees de user story inclusief acceptatiecriteria.</w:t>
      </w:r>
    </w:p>
    <w:p>
      <w:pPr>
        <w:pStyle w:val="Lijstnummering1"/>
        <w:numPr>
          <w:ilvl w:val="1"/>
          <w:numId w:val="22"/>
        </w:numPr>
      </w:pPr>
      <w:r>
        <w:t>Lees de relevante use cases/onderdelen van het Globaal Functioneel Ontwerp.</w:t>
      </w:r>
    </w:p>
    <w:p>
      <w:pPr>
        <w:pStyle w:val="Lijstnummering1"/>
        <w:numPr>
          <w:ilvl w:val="1"/>
          <w:numId w:val="22"/>
        </w:numPr>
      </w:pPr>
      <w:r>
        <w:t>Denk na hoe jij de oplossing zou bouwen en noteer kort jouw verwachtingen.</w:t>
      </w:r>
    </w:p>
    <w:p>
      <w:pPr>
        <w:pStyle w:val="Lijstnummering1"/>
        <w:numPr>
          <w:ilvl w:val="0"/>
          <w:numId w:val="21"/>
        </w:numPr>
      </w:pPr>
      <w:r>
        <w:t>Controleren op functionaliteit</w:t>
      </w:r>
    </w:p>
    <w:p>
      <w:pPr>
        <w:pStyle w:val="Lijstnummering1"/>
        <w:numPr>
          <w:ilvl w:val="1"/>
          <w:numId w:val="23"/>
        </w:numPr>
      </w:pPr>
      <w:r>
        <w:t>Sluit de code aan bij de user story en acceptatiecriteria?</w:t>
      </w:r>
    </w:p>
    <w:p>
      <w:pPr>
        <w:pStyle w:val="Lijstnummering1"/>
        <w:numPr>
          <w:ilvl w:val="1"/>
          <w:numId w:val="23"/>
        </w:numPr>
      </w:pPr>
      <w:r>
        <w:t>Zijn randgevallen en foutafhandeling meegenomen?</w:t>
      </w:r>
    </w:p>
    <w:p>
      <w:pPr>
        <w:pStyle w:val="Lijstnummering1"/>
        <w:numPr>
          <w:ilvl w:val="0"/>
          <w:numId w:val="21"/>
        </w:numPr>
      </w:pPr>
      <w:r>
        <w:t>Codekwaliteit</w:t>
      </w:r>
    </w:p>
    <w:p>
      <w:pPr>
        <w:pStyle w:val="Lijstnummering1"/>
        <w:numPr>
          <w:ilvl w:val="1"/>
          <w:numId w:val="24"/>
        </w:numPr>
      </w:pPr>
      <w:r>
        <w:t>Is de code leesbaar en consistent met onze coding conventions?</w:t>
      </w:r>
    </w:p>
    <w:p>
      <w:pPr>
        <w:pStyle w:val="Lijstnummering1"/>
        <w:numPr>
          <w:ilvl w:val="1"/>
          <w:numId w:val="24"/>
        </w:numPr>
      </w:pPr>
      <w:r>
        <w:t>Zijn er geen duplicaties of onnodige complexiteit?</w:t>
      </w:r>
    </w:p>
    <w:p>
      <w:pPr>
        <w:pStyle w:val="Lijstnummering1"/>
        <w:numPr>
          <w:ilvl w:val="1"/>
          <w:numId w:val="24"/>
        </w:numPr>
      </w:pPr>
      <w:r>
        <w:t>Zijn namen (variabelen, functies, klassen) duidelijk en betekenisvol?</w:t>
      </w:r>
    </w:p>
    <w:p>
      <w:pPr>
        <w:pStyle w:val="Lijstnummering1"/>
        <w:numPr>
          <w:ilvl w:val="0"/>
          <w:numId w:val="21"/>
        </w:numPr>
      </w:pPr>
      <w:r>
        <w:t>Onderhoudbaarheid</w:t>
      </w:r>
    </w:p>
    <w:p>
      <w:pPr>
        <w:pStyle w:val="Lijstnummering1"/>
        <w:numPr>
          <w:ilvl w:val="1"/>
          <w:numId w:val="25"/>
        </w:numPr>
      </w:pPr>
      <w:r>
        <w:t>Is de code goed testbaar? (unit-/integratietesten aanwezig)</w:t>
      </w:r>
    </w:p>
    <w:p>
      <w:pPr>
        <w:pStyle w:val="Lijstnummering1"/>
        <w:numPr>
          <w:ilvl w:val="1"/>
          <w:numId w:val="25"/>
        </w:numPr>
      </w:pPr>
      <w:r>
        <w:t>Is de architectuur en structuur logisch en schaalbaar?</w:t>
      </w:r>
    </w:p>
    <w:p>
      <w:pPr>
        <w:pStyle w:val="Lijstnummering1"/>
        <w:numPr>
          <w:ilvl w:val="0"/>
          <w:numId w:val="21"/>
        </w:numPr>
      </w:pPr>
      <w:r>
        <w:t>Veiligheid en betrouwbaarheid</w:t>
      </w:r>
    </w:p>
    <w:p>
      <w:pPr>
        <w:pStyle w:val="Lijstnummering1"/>
        <w:numPr>
          <w:ilvl w:val="1"/>
          <w:numId w:val="26"/>
        </w:numPr>
      </w:pPr>
      <w:r>
        <w:t>Geen hardcoded secrets of credentials?</w:t>
      </w:r>
    </w:p>
    <w:p>
      <w:pPr>
        <w:pStyle w:val="Lijstnummering1"/>
        <w:numPr>
          <w:ilvl w:val="1"/>
          <w:numId w:val="26"/>
        </w:numPr>
      </w:pPr>
      <w:r>
        <w:t>Inputvalidatie en foutafhandeling correct toegepast?</w:t>
      </w:r>
    </w:p>
    <w:p>
      <w:pPr>
        <w:pStyle w:val="Lijstnummering1"/>
        <w:numPr>
          <w:ilvl w:val="0"/>
          <w:numId w:val="21"/>
        </w:numPr>
      </w:pPr>
      <w:r>
        <w:t>Performance en efficiëntie</w:t>
      </w:r>
    </w:p>
    <w:p>
      <w:pPr>
        <w:pStyle w:val="Lijstnummering1"/>
        <w:numPr>
          <w:ilvl w:val="1"/>
          <w:numId w:val="27"/>
        </w:numPr>
      </w:pPr>
      <w:r>
        <w:t>Zijn er geen onnodig zware operaties?</w:t>
      </w:r>
    </w:p>
    <w:p>
      <w:pPr>
        <w:pStyle w:val="Lijstnummering1"/>
        <w:numPr>
          <w:ilvl w:val="1"/>
          <w:numId w:val="27"/>
        </w:numPr>
      </w:pPr>
      <w:r>
        <w:t>Worden resources efficiënt gebruikt?</w:t>
      </w:r>
    </w:p>
    <w:p>
      <w:pPr>
        <w:pStyle w:val="Lijstnummering1"/>
        <w:numPr>
          <w:ilvl w:val="0"/>
          <w:numId w:val="21"/>
        </w:numPr>
      </w:pPr>
      <w:r>
        <w:t>Overige controles</w:t>
      </w:r>
    </w:p>
    <w:p>
      <w:pPr>
        <w:pStyle w:val="Lijstnummering1"/>
        <w:numPr>
          <w:ilvl w:val="1"/>
          <w:numId w:val="28"/>
        </w:numPr>
      </w:pPr>
      <w:r>
        <w:t>Zijn alle nieuwe en gewijzigde tests geslaagd?</w:t>
      </w:r>
    </w:p>
    <w:p>
      <w:pPr>
        <w:pStyle w:val="Lijstnummering1"/>
        <w:numPr>
          <w:ilvl w:val="1"/>
          <w:numId w:val="28"/>
        </w:numPr>
      </w:pPr>
      <w:r>
        <w:t>Is de documentatie (code comments, README-bestanden, use cases) bijgewerkt?</w:t>
      </w:r>
    </w:p>
    <w:p>
      <w:pPr>
        <w:pStyle w:val="Kop3"/>
      </w:pPr>
      <w:r>
        <w:t>Complexiteit van broncode limiteren</w:t>
      </w:r>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pPr>
        <w:pStyle w:val="Kop3"/>
      </w:pPr>
      <w:r>
        <w:t>Duplicatie van broncode beperken</w:t>
      </w:r>
    </w:p>
    <w:p>
      <w:r>
        <w:t>Om de onderhoudbaarheid van de software te bevorderen dient er zo min mogelijk duplicatie van broncode aanwezig te zijn. Het uitgangspunt is dat SonarQube met de standaard instellingen 0% duplicatie rapporteert. Quality-time bewaakt de duplicatie in broncode.</w:t>
      </w:r>
    </w:p>
    <w:p>
      <w:pPr>
        <w:pStyle w:val="Kop3"/>
      </w:pPr>
      <w:r>
        <w:t>Omvang van het systeem beperken</w:t>
      </w:r>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color w:val="000000"/>
                <w:highlight w:val="yellow"/>
              </w:rPr>
              <w:t>{programmeertaal A}</w:t>
            </w:r>
          </w:p>
        </w:tc>
        <w:tc>
          <w:tcPr>
            <w:tcW w:type="auto" w:w="4535"/>
          </w:tcPr>
          <w:p>
            <w:pPr>
              <w:jc w:val="left"/>
            </w:pPr>
            <w:r>
              <w:rPr>
                <w:color w:val="000000"/>
                <w:highlight w:val="yellow"/>
              </w:rPr>
              <w:t>{maximale omvang}</w:t>
            </w:r>
          </w:p>
        </w:tc>
      </w:tr>
      <w:tr>
        <w:tc>
          <w:tcPr>
            <w:tcW w:type="auto" w:w="4535"/>
          </w:tcPr>
          <w:p>
            <w:pPr>
              <w:jc w:val="left"/>
            </w:pPr>
            <w:r>
              <w:rPr>
                <w:color w:val="000000"/>
                <w:highlight w:val="yellow"/>
              </w:rPr>
              <w:t>{programmeertaal B}</w:t>
            </w:r>
          </w:p>
        </w:tc>
        <w:tc>
          <w:tcPr>
            <w:tcW w:type="auto" w:w="4535"/>
          </w:tcPr>
          <w:p>
            <w:pPr>
              <w:jc w:val="left"/>
            </w:pPr>
            <w:r>
              <w:rPr>
                <w:color w:val="000000"/>
                <w:highlight w:val="yellow"/>
              </w:rPr>
              <w:t>{maximale omvang}</w:t>
            </w:r>
          </w:p>
        </w:tc>
      </w:tr>
    </w:tbl>
    <w:p>
      <w:pPr>
        <w:pStyle w:val="Kop3"/>
      </w:pPr>
      <w:r>
        <w:t>Omvang van methoden beperken</w:t>
      </w:r>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pPr>
        <w:pStyle w:val="Kop3"/>
      </w:pPr>
      <w:r>
        <w:t>Omvang van unit interfaces beperken</w:t>
      </w:r>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pPr>
        <w:pStyle w:val="Kop2"/>
      </w:pPr>
      <w:r>
        <w:t>Versiebeheer broncode</w:t>
      </w:r>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pPr>
        <w:pStyle w:val="Kop2"/>
      </w:pPr>
      <w:r>
        <w:t>Testen</w:t>
      </w:r>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pPr>
        <w:pStyle w:val="Kop2"/>
      </w:pPr>
      <w:r>
        <w:t>Unit tests</w:t>
      </w:r>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pPr>
        <w:pStyle w:val="Kop2"/>
      </w:pPr>
      <w:r>
        <w:t>Systeemtesten</w:t>
      </w:r>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pPr>
        <w:pStyle w:val="Kop2"/>
      </w:pPr>
      <w:r>
        <w:t>Unit tests en systeemtesten gecombineerd</w:t>
      </w:r>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pPr>
        <w:pStyle w:val="Kop2"/>
      </w:pPr>
      <w:r>
        <w:t>Performancetesten</w:t>
      </w:r>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9"/>
        </w:numPr>
      </w:pPr>
      <w:r>
        <w:t>snelheid van handelingen en voldoen aan eisen (loadtest)</w:t>
      </w:r>
    </w:p>
    <w:p>
      <w:pPr>
        <w:pStyle w:val="Lijstnummering1"/>
        <w:numPr>
          <w:ilvl w:val="0"/>
          <w:numId w:val="29"/>
        </w:numPr>
      </w:pPr>
      <w:r>
        <w:t>stabiliteit op langere termijn (duurtest)</w:t>
      </w:r>
    </w:p>
    <w:p>
      <w:pPr>
        <w:pStyle w:val="Lijstnummering1"/>
        <w:numPr>
          <w:ilvl w:val="0"/>
          <w:numId w:val="29"/>
        </w:numPr>
      </w:pPr>
      <w:r>
        <w:t>schaalbaarheid en maximale belastbaarheid (stresstest).</w:t>
      </w:r>
    </w:p>
    <w:p>
      <w:r>
        <w:t xml:space="preserve">Deze performancetesten worden uitgevoerd in de </w:t>
      </w:r>
      <w:r>
        <w:rPr>
          <w:color w:val="000000"/>
          <w:highlight w:val="yellow"/>
        </w:rPr>
        <w:t>{performancetestomgeving}</w:t>
      </w:r>
      <w:r>
        <w:t>. De loadtest draait dagelijks. De duurtest en stresstest draaien wekelijks.</w:t>
      </w:r>
    </w:p>
    <w:p>
      <w:r>
        <w:rPr>
          <w:color w:val="000000"/>
          <w:highlight w:val="yellow"/>
        </w:rPr>
        <w:t>{Als de performancetestgeving niet representatief is voor de productieomgeving:}</w:t>
      </w:r>
      <w:r>
        <w:t xml:space="preserve"> Omdat de performancetestomgeving niet representatief is voor de productieomgeving, zijn de absolute meetwaardes uit de performancetesten, zoals responsetijden en maximale belastbaarheid, zeer waarschijnlijk niet hetzelfde als die in de productieomgeving zouden worden gemeten. ICTU gebruikt de performancetesten daarom als regressietest: door de meetwaardes van een test te vergelijken met de vorige testrun of een baselinetestrun kunnen veranderingen in de performance vroegtijdig worden opgemerkt.</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color w:val="000000"/>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color w:val="000000"/>
          <w:highlight w:val="yellow"/>
        </w:rPr>
        <w:t>{opdrachtgevende organisatie}</w:t>
      </w:r>
      <w:r>
        <w:t xml:space="preserve"> zelf te (laten) testen.</w:t>
      </w:r>
    </w:p>
    <w:p>
      <w:pPr>
        <w:pStyle w:val="Kop2"/>
      </w:pPr>
      <w:r>
        <w:t>Security-testen</w:t>
      </w:r>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en ZAP by Checkmarx.</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color w:val="000000"/>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pPr>
        <w:pStyle w:val="Kop2"/>
      </w:pPr>
      <w:r>
        <w:t>Toegankelijkheidstesten</w:t>
      </w:r>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color w:val="000000"/>
          <w:highlight w:val="yellow"/>
        </w:rPr>
        <w:t>{of door externe deskundigen}</w:t>
      </w:r>
      <w:r>
        <w:t>. Het MTP beschrijft de gekozen aanpak voor het testen van WCAG-2.2-richtlijnen die niet geautomatiseerd kunnen worden getest.</w:t>
      </w:r>
    </w:p>
    <w:p>
      <w:pPr>
        <w:pStyle w:val="Kop2"/>
      </w:pPr>
      <w:r>
        <w:t>Usability-testen</w:t>
      </w:r>
    </w:p>
    <w:p>
      <w:r>
        <w:rPr>
          <w:color w:val="000000"/>
          <w:highlight w:val="yellow"/>
        </w:rPr>
        <w:t>{Verwijder deze paragraaf indien usability-testen niet van toepassing zijn}</w:t>
      </w:r>
    </w:p>
    <w:p>
      <w:r>
        <w:t xml:space="preserve">Om de usability van de software te testen worden usability-testen uitgevoerd, door deskundige leden van het Scrumteam </w:t>
      </w:r>
      <w:r>
        <w:rPr>
          <w:color w:val="000000"/>
          <w:highlight w:val="yellow"/>
        </w:rPr>
        <w:t>{of door externe deskundigen}</w:t>
      </w:r>
      <w:r>
        <w:t>. Het MTP beschrijft de gekozen aanpak.</w:t>
      </w:r>
    </w:p>
    <w:p>
      <w:r>
        <w:t>Issues die voortkomen uit usability-testen worden opgenomen in Jira met het label "usability_bevinding".</w:t>
      </w:r>
    </w:p>
    <w:p>
      <w:pPr>
        <w:pStyle w:val="Kop2"/>
      </w:pPr>
      <w:r>
        <w:t>Technische schuld</w:t>
      </w:r>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pPr>
        <w:pStyle w:val="Kop2"/>
      </w:pPr>
      <w:r>
        <w:t>Beheer</w:t>
      </w:r>
    </w:p>
    <w:p>
      <w:r>
        <w:t>Ten behoeve van de beheerfase wordt gedurende de realisatiefase een implementatie- en beheerplan opgesteld. Hierin worden de kaders aangegeven op welke wijze het beheer ingericht, geïmplementeerd en uitgevoerd wordt.</w:t>
      </w:r>
    </w:p>
    <w:p>
      <w:r>
        <w:rPr>
          <w:color w:val="000000"/>
          <w:highlight w:val="yellow"/>
        </w:rPr>
        <w:t>{Werk dit kwaliteitsplan bij zodra er meer informatie beschikbaar is over de werkwijze ten aanzien van implementatie en beheer}</w:t>
      </w:r>
    </w:p>
    <w:p>
      <w:pPr>
        <w:pStyle w:val="Kop2"/>
      </w:pPr>
      <w:r>
        <w:t>Externe testen, toetsen en certificeringen</w:t>
      </w:r>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Security code review</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Onderhoudbaarheidstoets</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Toegankelijkheidstoets</w:t>
            </w:r>
          </w:p>
        </w:tc>
        <w:tc>
          <w:tcPr>
            <w:tcW w:type="auto" w:w="3023"/>
          </w:tcPr>
          <w:p>
            <w:pPr>
              <w:jc w:val="left"/>
            </w:pPr>
            <w:r>
              <w:rPr>
                <w:color w:val="000000"/>
                <w:highlight w:val="yellow"/>
              </w:rPr>
              <w:t>{Leverancier}</w:t>
            </w:r>
          </w:p>
        </w:tc>
        <w:tc>
          <w:tcPr>
            <w:tcW w:type="auto" w:w="3023"/>
          </w:tcPr>
          <w:p>
            <w:pPr>
              <w:jc w:val="left"/>
            </w:pPr>
            <w:r>
              <w:rPr>
                <w:color w:val="000000"/>
                <w:highlight w:val="yellow"/>
              </w:rPr>
              <w:t>{datum(s) en/of frequentie}</w:t>
            </w:r>
          </w:p>
        </w:tc>
      </w:tr>
      <w:tr>
        <w:tc>
          <w:tcPr>
            <w:tcW w:type="auto" w:w="3023"/>
          </w:tcPr>
          <w:p>
            <w:pPr>
              <w:jc w:val="left"/>
            </w:pPr>
            <w:r>
              <w:rPr>
                <w:color w:val="000000"/>
                <w:highlight w:val="yellow"/>
              </w:rPr>
              <w:t>{Certificering}</w:t>
            </w:r>
          </w:p>
        </w:tc>
        <w:tc>
          <w:tcPr>
            <w:tcW w:type="auto" w:w="3023"/>
          </w:tcPr>
          <w:p>
            <w:pPr>
              <w:jc w:val="left"/>
            </w:pPr>
            <w:r>
              <w:rPr>
                <w:color w:val="000000"/>
                <w:highlight w:val="yellow"/>
              </w:rPr>
              <w:t>{Leverancier}</w:t>
            </w:r>
          </w:p>
        </w:tc>
        <w:tc>
          <w:tcPr>
            <w:tcW w:type="auto" w:w="3023"/>
          </w:tcPr>
          <w:p>
            <w:pPr>
              <w:jc w:val="left"/>
            </w:pPr>
            <w:r>
              <w:rPr>
                <w:color w:val="000000"/>
                <w:highlight w:val="yellow"/>
              </w:rPr>
              <w:t>{datum(s) en/of frequentie}</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 compliancy.</w:t>
      </w:r>
    </w:p>
    <w:p>
      <w:pPr>
        <w:pStyle w:val="Kop2"/>
      </w:pPr>
      <w:r>
        <w:t>Projectspecifieke maatregelen</w:t>
      </w:r>
    </w:p>
    <w:p>
      <w:r>
        <w:rPr>
          <w:color w:val="000000"/>
          <w:highlight w:val="yellow"/>
        </w:rPr>
        <w:t>{Verwijder deze paragraaf indien er geen projectspecifieke kwaliteitsmaatregelen nodig zijn}</w:t>
      </w:r>
    </w:p>
    <w:p>
      <w:r>
        <w:t>Deze paragraaf bevat maatregelen voor functionele en niet-functionele eisen, die via de standaardmaatregelen uit de ICTU-kwaliteitsaanpak en in dit kwaliteitsplan niet voldoende worden geborgd.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Hoe controleren</w:t>
            </w:r>
          </w:p>
        </w:tc>
        <w:tc>
          <w:tcPr>
            <w:tcW w:type="auto" w:w="1814"/>
          </w:tcPr>
          <w:p>
            <w:pPr>
              <w:jc w:val="left"/>
            </w:pPr>
            <w:r>
              <w:t>Verificatie</w:t>
            </w:r>
          </w:p>
        </w:tc>
      </w:tr>
      <w:tr>
        <w:tc>
          <w:tcPr>
            <w:tcW w:type="auto" w:w="1814"/>
          </w:tcPr>
          <w:p>
            <w:pPr>
              <w:jc w:val="left"/>
            </w:pPr>
            <w:r>
              <w:rPr>
                <w:color w:val="000000"/>
                <w:highlight w:val="yellow"/>
              </w:rPr>
              <w:t>{Nummer}</w:t>
            </w:r>
          </w:p>
        </w:tc>
        <w:tc>
          <w:tcPr>
            <w:tcW w:type="auto" w:w="1814"/>
          </w:tcPr>
          <w:p>
            <w:pPr>
              <w:jc w:val="left"/>
            </w:pPr>
            <w:r>
              <w:rPr>
                <w:color w:val="000000"/>
                <w:highlight w:val="yellow"/>
              </w:rPr>
              <w:t>{voorbeeld: onderdeel A moet kunnen worden vervangen door onderdeel B}</w:t>
            </w:r>
          </w:p>
        </w:tc>
        <w:tc>
          <w:tcPr>
            <w:tcW w:type="auto" w:w="1814"/>
          </w:tcPr>
          <w:p>
            <w:pPr>
              <w:jc w:val="left"/>
            </w:pPr>
            <w:r>
              <w:rPr>
                <w:color w:val="000000"/>
                <w:highlight w:val="yellow"/>
              </w:rPr>
              <w:t>{voorbeeld: scenariotest opnemen in MTP}</w:t>
            </w:r>
          </w:p>
        </w:tc>
        <w:tc>
          <w:tcPr>
            <w:tcW w:type="auto" w:w="1814"/>
          </w:tcPr>
          <w:p>
            <w:pPr>
              <w:jc w:val="left"/>
            </w:pPr>
            <w:r>
              <w:rPr>
                <w:color w:val="000000"/>
                <w:highlight w:val="yellow"/>
              </w:rPr>
              <w:t>{voorbeeld: review MTP}</w:t>
            </w:r>
          </w:p>
        </w:tc>
        <w:tc>
          <w:tcPr>
            <w:tcW w:type="auto" w:w="1814"/>
          </w:tcPr>
          <w:p>
            <w:pPr>
              <w:jc w:val="left"/>
            </w:pPr>
            <w:r>
              <w:rPr>
                <w:color w:val="000000"/>
                <w:highlight w:val="yellow"/>
              </w:rPr>
              <w:t>{voorbeeld: dd/mm/jjjj review MTP, test opgenomen in hoofdstuk x}</w:t>
            </w:r>
          </w:p>
        </w:tc>
      </w:tr>
      <w:tr>
        <w:tc>
          <w:tcPr>
            <w:tcW w:type="auto" w:w="1814"/>
          </w:tcPr>
          <w:p>
            <w:pPr>
              <w:jc w:val="left"/>
            </w:pPr>
            <w:r>
              <w:rPr>
                <w:color w:val="000000"/>
                <w:highlight w:val="yellow"/>
              </w:rPr>
              <w:t>{Nummer}</w:t>
            </w:r>
          </w:p>
        </w:tc>
        <w:tc>
          <w:tcPr>
            <w:tcW w:type="auto" w:w="1814"/>
          </w:tcPr>
          <w:p>
            <w:pPr>
              <w:jc w:val="left"/>
            </w:pPr>
            <w:r>
              <w:rPr>
                <w:color w:val="000000"/>
                <w:highlight w:val="yellow"/>
              </w:rPr>
              <w:t>{Omschrijving}</w:t>
            </w:r>
          </w:p>
        </w:tc>
        <w:tc>
          <w:tcPr>
            <w:tcW w:type="auto" w:w="1814"/>
          </w:tcPr>
          <w:p>
            <w:pPr>
              <w:jc w:val="left"/>
            </w:pPr>
            <w:r>
              <w:rPr>
                <w:color w:val="000000"/>
                <w:highlight w:val="yellow"/>
              </w:rPr>
              <w:t>{Maatregelen}</w:t>
            </w:r>
          </w:p>
        </w:tc>
        <w:tc>
          <w:tcPr>
            <w:tcW w:type="auto" w:w="1814"/>
          </w:tcPr>
          <w:p>
            <w:pPr>
              <w:jc w:val="left"/>
            </w:pPr>
            <w:r>
              <w:rPr>
                <w:color w:val="000000"/>
                <w:highlight w:val="yellow"/>
              </w:rPr>
              <w:t>{Controle}</w:t>
            </w:r>
          </w:p>
        </w:tc>
        <w:tc>
          <w:tcPr>
            <w:tcW w:type="auto" w:w="1814"/>
          </w:tcPr>
          <w:p>
            <w:pPr>
              <w:jc w:val="left"/>
            </w:pPr>
            <w:r>
              <w:rPr>
                <w:color w:val="000000"/>
                <w:highlight w:val="yellow"/>
              </w:rPr>
              <w:t>{Verificatie}</w:t>
            </w:r>
          </w:p>
        </w:tc>
      </w:tr>
    </w:tbl>
    <w:p>
      <w:pPr>
        <w:pStyle w:val="Kop1"/>
      </w:pPr>
      <w:r>
        <w:t>Kwaliteitsmaatregelen projectafsluiting</w:t>
      </w:r>
    </w:p>
    <w:p>
      <w:r>
        <w:t>De kwaliteitsmanager controleert of de projectafsluiting conform de afspraken daarover in het plan van aanpak van de voorfase en/of de realisatiefase is uitgevoerd.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0">
              <w:r>
                <w:rPr>
                  <w:rStyle w:val="Hyperlink"/>
                </w:rPr>
                <w:t>BIO</w:t>
              </w:r>
            </w:hyperlink>
          </w:p>
        </w:tc>
        <w:tc>
          <w:tcPr>
            <w:tcW w:type="auto" w:w="4535"/>
          </w:tcPr>
          <w:p>
            <w:pPr>
              <w:jc w:val="left"/>
            </w:pPr>
            <w:r>
              <w:t>Baseline Informatiebeveiliging Overheid.</w:t>
            </w:r>
          </w:p>
        </w:tc>
      </w:tr>
      <w:tr>
        <w:tc>
          <w:tcPr>
            <w:tcW w:type="auto" w:w="4535"/>
          </w:tcPr>
          <w:p>
            <w:pPr>
              <w:jc w:val="left"/>
            </w:pPr>
            <w:hyperlink r:id="rId21">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2">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3">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4">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5">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6">
              <w:r>
                <w:rPr>
                  <w:rStyle w:val="Hyperlink"/>
                </w:rPr>
                <w:t>NEN 7510-2:2024</w:t>
              </w:r>
            </w:hyperlink>
          </w:p>
        </w:tc>
        <w:tc>
          <w:tcPr>
            <w:tcW w:type="auto" w:w="4535"/>
          </w:tcPr>
          <w:p>
            <w:pPr>
              <w:jc w:val="left"/>
            </w:pPr>
          </w:p>
        </w:tc>
      </w:tr>
      <w:tr>
        <w:tc>
          <w:tcPr>
            <w:tcW w:type="auto" w:w="4535"/>
          </w:tcPr>
          <w:p>
            <w:pPr>
              <w:jc w:val="left"/>
            </w:pPr>
            <w:hyperlink r:id="rId27">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8">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9">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0">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1">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2">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3">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4">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5">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30"/>
        </w:numPr>
      </w:pPr>
      <w:r>
        <w:t>Opdrachtgevende organisaties helpen bekende risico's bij softwareontwikkeling, zoals technische schuld, vertraging en defecten, zo veel mogelijk te voorkomen.</w:t>
      </w:r>
    </w:p>
    <w:p>
      <w:pPr>
        <w:pStyle w:val="Lijstnummering1"/>
        <w:numPr>
          <w:ilvl w:val="0"/>
          <w:numId w:val="30"/>
        </w:numPr>
      </w:pPr>
      <w:r>
        <w:t>ICTU helpen om software te ontwikkelen die de missie van ICTU, namelijk bijdragen aan een betere digitale overheid, ondersteunt.</w:t>
      </w:r>
    </w:p>
    <w:p>
      <w:pPr>
        <w:pStyle w:val="Lijstnummering1"/>
        <w:numPr>
          <w:ilvl w:val="0"/>
          <w:numId w:val="3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Gebruik van Jira</w:t>
      </w:r>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pPr>
        <w:pStyle w:val="Kop3Bijlage"/>
      </w:pPr>
      <w:r>
        <w:t>Jira-typen</w:t>
      </w:r>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pPr>
        <w:pStyle w:val="Kop3Bijlage"/>
      </w:pPr>
      <w:r>
        <w:t>Workflow</w:t>
      </w:r>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pPr>
        <w:pStyle w:val="Kop3Bijlage"/>
      </w:pPr>
      <w:r>
        <w:t>Systeembeschrijving</w:t>
      </w:r>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pPr>
        <w:pStyle w:val="Kop4Bijlage"/>
      </w:pPr>
      <w:r>
        <w:t>Use cases</w:t>
      </w:r>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pPr>
        <w:pStyle w:val="Kop4Bijlage"/>
      </w:pPr>
      <w:r>
        <w:t>Logische testgevallen</w:t>
      </w:r>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pPr>
        <w:pStyle w:val="Kop3Bijlage"/>
      </w:pPr>
      <w:r>
        <w:t>Realisatie-activiteiten</w:t>
      </w:r>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pPr>
        <w:pStyle w:val="Kop4Bijlage"/>
      </w:pPr>
      <w:r>
        <w:t>Epic</w:t>
      </w:r>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pPr>
        <w:pStyle w:val="Kop4Bijlage"/>
      </w:pPr>
      <w:r>
        <w:t>User story</w:t>
      </w:r>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pPr>
        <w:pStyle w:val="Kop4Bijlage"/>
      </w:pPr>
      <w:r>
        <w:t>Technical tasks</w:t>
      </w:r>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pPr>
        <w:pStyle w:val="Kop4Bijlage"/>
      </w:pPr>
      <w:r>
        <w:t>Bugs</w:t>
      </w:r>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pPr>
        <w:pStyle w:val="Kop2Bijlage"/>
      </w:pPr>
      <w:r>
        <w:t>Periodieke handmatige controles</w:t>
      </w:r>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color w:val="000000"/>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Verificatie realisatie niet-functionele eisen</w:t>
            </w:r>
          </w:p>
        </w:tc>
        <w:tc>
          <w:tcPr>
            <w:tcW w:type="auto" w:w="3023"/>
          </w:tcPr>
          <w:p>
            <w:pPr>
              <w:jc w:val="left"/>
            </w:pPr>
            <w:r>
              <w:t>Niet-functionele eisen</w:t>
            </w:r>
          </w:p>
        </w:tc>
        <w:tc>
          <w:tcPr>
            <w:tcW w:type="auto" w:w="3023"/>
          </w:tcPr>
          <w:p>
            <w:pPr>
              <w:jc w:val="left"/>
            </w:pPr>
            <w:r>
              <w:t>Verificatie van aan ICTU toegewezen niet-functionele eisen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§3.3.2</w:t>
            </w:r>
          </w:p>
        </w:tc>
        <w:tc>
          <w:tcPr>
            <w:tcW w:type="auto" w:w="3023"/>
          </w:tcPr>
          <w:p>
            <w:pPr>
              <w:jc w:val="left"/>
            </w:pPr>
            <w:r>
              <w:t>Documenten zijn op de afgesproken wijze gereviewd</w:t>
            </w:r>
          </w:p>
        </w:tc>
      </w:tr>
      <w:tr>
        <w:tc>
          <w:tcPr>
            <w:tcW w:type="auto" w:w="3023"/>
          </w:tcPr>
          <w:p>
            <w:pPr>
              <w:jc w:val="left"/>
            </w:pPr>
            <w:r>
              <w:t>Definition of Ready</w:t>
            </w:r>
          </w:p>
        </w:tc>
        <w:tc>
          <w:tcPr>
            <w:tcW w:type="auto" w:w="3023"/>
          </w:tcPr>
          <w:p>
            <w:pPr>
              <w:jc w:val="left"/>
            </w:pPr>
            <w:r>
              <w:t>Kwaliteitsplan §5.1.1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§5.1.2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§5.1.3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§5.10</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§5.10</w:t>
            </w:r>
          </w:p>
        </w:tc>
        <w:tc>
          <w:tcPr>
            <w:tcW w:type="auto" w:w="3023"/>
          </w:tcPr>
          <w:p>
            <w:pPr>
              <w:jc w:val="left"/>
            </w:pPr>
            <w:r>
              <w:t>Beveiligingsissues uit securitytesten zijn opgenomen in Jira en volgens de oplostermijnen opgelost</w:t>
            </w:r>
          </w:p>
        </w:tc>
      </w:tr>
      <w:tr>
        <w:tc>
          <w:tcPr>
            <w:tcW w:type="auto" w:w="3023"/>
          </w:tcPr>
          <w:p>
            <w:pPr>
              <w:jc w:val="left"/>
            </w:pPr>
            <w:r>
              <w:t>Projectspecifieke kwaliteitsmaatregelen</w:t>
            </w:r>
          </w:p>
        </w:tc>
        <w:tc>
          <w:tcPr>
            <w:tcW w:type="auto" w:w="3023"/>
          </w:tcPr>
          <w:p>
            <w:pPr>
              <w:jc w:val="left"/>
            </w:pPr>
            <w:r>
              <w:t>Kwaliteitsplan §5.16</w:t>
            </w:r>
          </w:p>
        </w:tc>
        <w:tc>
          <w:tcPr>
            <w:tcW w:type="auto" w:w="3023"/>
          </w:tcPr>
          <w:p>
            <w:pPr>
              <w:jc w:val="left"/>
            </w:pPr>
            <w:r>
              <w:t>Projectspecifieke maatregelen zijn uitgevoerd zoals afgesproken</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1">
      <w:startOverride w:val="1"/>
    </w:lvlOverride>
  </w:num>
  <w:num w:numId="23">
    <w:abstractNumId w:val="0"/>
    <w:lvlOverride w:ilvl="1">
      <w:startOverride w:val="1"/>
    </w:lvlOverride>
  </w:num>
  <w:num w:numId="24">
    <w:abstractNumId w:val="0"/>
    <w:lvlOverride w:ilvl="1">
      <w:startOverride w:val="1"/>
    </w:lvlOverride>
  </w:num>
  <w:num w:numId="25">
    <w:abstractNumId w:val="0"/>
    <w:lvlOverride w:ilvl="1">
      <w:startOverride w:val="1"/>
    </w:lvlOverride>
  </w:num>
  <w:num w:numId="26">
    <w:abstractNumId w:val="0"/>
    <w:lvlOverride w:ilvl="1">
      <w:startOverride w:val="1"/>
    </w:lvlOverride>
  </w:num>
  <w:num w:numId="27">
    <w:abstractNumId w:val="0"/>
    <w:lvlOverride w:ilvl="1">
      <w:startOverride w:val="1"/>
    </w:lvlOverride>
  </w:num>
  <w:num w:numId="28">
    <w:abstractNumId w:val="0"/>
    <w:lvlOverride w:ilvl="1">
      <w:startOverride w:val="1"/>
    </w:lvlOverride>
  </w:num>
  <w:num w:numId="29">
    <w:abstractNumId w:val="0"/>
    <w:lvlOverride w:ilvl="0">
      <w:startOverride w:val="1"/>
    </w:lvlOverride>
  </w:num>
  <w:num w:numId="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kwaliteitsaanpak" TargetMode="External"/><Relationship Id="rId17" Type="http://schemas.openxmlformats.org/officeDocument/2006/relationships/hyperlink" Target="https://xp123.com/invest-in-good-stories-and-smart-tasks/" TargetMode="External"/><Relationship Id="rId18" Type="http://schemas.openxmlformats.org/officeDocument/2006/relationships/hyperlink" Target="https://quality-time.readthedocs.io/en/latest/reference.html#metrics" TargetMode="External"/><Relationship Id="rId19" Type="http://schemas.openxmlformats.org/officeDocument/2006/relationships/hyperlink" Target="https://peps.python.org/pep-0008/" TargetMode="External"/><Relationship Id="rId20" Type="http://schemas.openxmlformats.org/officeDocument/2006/relationships/hyperlink" Target="https://bio-overheid.nl/media/1572/bio-versie-104zv_def.pdf" TargetMode="External"/><Relationship Id="rId21" Type="http://schemas.openxmlformats.org/officeDocument/2006/relationships/hyperlink" Target="https://www.iso.org/standard/77520.html" TargetMode="External"/><Relationship Id="rId22" Type="http://schemas.openxmlformats.org/officeDocument/2006/relationships/hyperlink" Target="https://www.ncsc.nl/documenten/publicaties/2019/mei/01/ict-beveiligingsrichtlijnen-voor-webapplicaties" TargetMode="External"/><Relationship Id="rId23" Type="http://schemas.openxmlformats.org/officeDocument/2006/relationships/hyperlink" Target="https://www.nen.nl/nen-iso-iec-25010-2023-en-318088" TargetMode="External"/><Relationship Id="rId24" Type="http://schemas.openxmlformats.org/officeDocument/2006/relationships/hyperlink" Target="https://www.nen.nl/nen-en-iso-iec-27001-2023-nl-314206" TargetMode="External"/><Relationship Id="rId25" Type="http://schemas.openxmlformats.org/officeDocument/2006/relationships/hyperlink" Target="https://www.nen.nl/nen-en-iso-iec-27002-2022-nl-304509" TargetMode="External"/><Relationship Id="rId26" Type="http://schemas.openxmlformats.org/officeDocument/2006/relationships/hyperlink" Target="https://www.nen.nl/nen-7510-2-2024-nl-331314" TargetMode="External"/><Relationship Id="rId27" Type="http://schemas.openxmlformats.org/officeDocument/2006/relationships/hyperlink" Target="https://www.nen.nl/npr-5325-2017-nl-238298" TargetMode="External"/><Relationship Id="rId28" Type="http://schemas.openxmlformats.org/officeDocument/2006/relationships/hyperlink" Target="https://www.nen.nl/npr-5326-2019-nl-262885" TargetMode="External"/><Relationship Id="rId29" Type="http://schemas.openxmlformats.org/officeDocument/2006/relationships/hyperlink" Target="https://www.noraonline.nl" TargetMode="External"/><Relationship Id="rId30" Type="http://schemas.openxmlformats.org/officeDocument/2006/relationships/hyperlink" Target="https://owasp.org/www-project-top-ten/" TargetMode="External"/><Relationship Id="rId31" Type="http://schemas.openxmlformats.org/officeDocument/2006/relationships/hyperlink" Target="https://scrumguides.org/docs/scrumguide/v2020/2020-Scrum-Guide-Dutch.pdf" TargetMode="External"/><Relationship Id="rId32" Type="http://schemas.openxmlformats.org/officeDocument/2006/relationships/hyperlink" Target="https://wetten.overheid.nl/BWBR0022141/2007-07-01" TargetMode="External"/><Relationship Id="rId33" Type="http://schemas.openxmlformats.org/officeDocument/2006/relationships/hyperlink" Target="https://wetten.overheid.nl/BWBR0033507/2013-06-01" TargetMode="External"/><Relationship Id="rId34" Type="http://schemas.openxmlformats.org/officeDocument/2006/relationships/hyperlink" Target="https://wetten.overheid.nl/BWBR0041515/2024-10-01/0" TargetMode="External"/><Relationship Id="rId35" Type="http://schemas.openxmlformats.org/officeDocument/2006/relationships/hyperlink" Target="https://www.tweedekamer.nl/sites/default/files/field_uploads/33326-5-Eindrapport_tcm181-239826.pdf" TargetMode="External"/><Relationship Id="rId36"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