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in de voorfase op te leveren producten. In hoofdstuk 4 staat de werkwijze voor de voorfase. Hoofdstuk 5 beschrijft de planning en doorlooptijd van het project. Hoofdstuk 6 geeft de randvoorwaarden die ingevuld dienen te zijn bij de start van voorfase.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