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tot </w:t>
      </w:r>
      <w:r>
        <w:rPr>
          <w:highlight w:val="yellow"/>
        </w:rPr>
        <w:t>{projectresultaat}</w:t>
      </w:r>
      <w:r>
        <w:t xml:space="preserve"> te komen, ontwikkelt ICTU in samenwerking met </w:t>
      </w:r>
      <w:r>
        <w:rPr>
          <w:highlight w:val="yellow"/>
        </w:rPr>
        <w:t>{partijen}</w:t>
      </w:r>
      <w:r>
        <w:t xml:space="preserve"> </w:t>
      </w:r>
      <w:r>
        <w:rPr>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highlight w:val="yellow"/>
        </w:rPr>
        <w:t>{partijen}</w:t>
      </w:r>
      <w:r>
        <w:t xml:space="preserve">, waarbij ICTU zo goed mogelijk gebruik maakt van de bij deze partijen aanwezige kennis en producten. Dit vraagt, naast de inspanning van ICTU, ook significante inzet van medewerkers van </w:t>
      </w:r>
      <w:r>
        <w:rPr>
          <w:highlight w:val="yellow"/>
        </w:rPr>
        <w:t>{partijen}</w:t>
      </w:r>
      <w:r>
        <w:t>; zie hiervoor het hoofdstuk "Werkwijze".</w:t>
      </w:r>
    </w:p>
    <w:p>
      <w:r>
        <w:rPr>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w:t>
            </w:r>
            <w:r>
              <w:rPr>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realisatiefase is een vervolg op de voorfase van </w:t>
      </w:r>
      <w:r>
        <w:rPr>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Lijstopsomteken1"/>
        <w:numPr>
          <w:ilvl w:val="0"/>
        </w:numPr>
      </w:pPr>
      <w:r>
        <w:t xml:space="preserve">Softwarearchitectuurdocument (SAD), versie </w:t>
      </w:r>
      <w:r>
        <w:rPr>
          <w:highlight w:val="yellow"/>
        </w:rPr>
        <w:t>{versie}</w:t>
      </w:r>
      <w:r>
        <w:t>,</w:t>
      </w:r>
    </w:p>
    <w:p>
      <w:pPr>
        <w:pStyle w:val="Lijstopsomteken1"/>
        <w:numPr>
          <w:ilvl w:val="0"/>
        </w:numPr>
      </w:pPr>
      <w:r>
        <w:t xml:space="preserve">Infrastructuurarchitectuur (IA), versie </w:t>
      </w:r>
      <w:r>
        <w:rPr>
          <w:highlight w:val="yellow"/>
        </w:rPr>
        <w:t>{versie}</w:t>
      </w:r>
      <w:r>
        <w:t>,</w:t>
      </w:r>
    </w:p>
    <w:p>
      <w:pPr>
        <w:pStyle w:val="Lijstopsomteken1"/>
        <w:numPr>
          <w:ilvl w:val="0"/>
        </w:numPr>
      </w:pPr>
      <w:r>
        <w:t xml:space="preserve">Mastertestplan, versie </w:t>
      </w:r>
      <w:r>
        <w:rPr>
          <w:highlight w:val="yellow"/>
        </w:rPr>
        <w:t>{versie}</w:t>
      </w:r>
      <w:r>
        <w:t>,</w:t>
      </w:r>
    </w:p>
    <w:p>
      <w:pPr>
        <w:pStyle w:val="Lijstopsomteken1"/>
        <w:numPr>
          <w:ilvl w:val="0"/>
        </w:numPr>
      </w:pPr>
      <w:r>
        <w:t xml:space="preserve">Detailtestplan softwarerealisatie, versie </w:t>
      </w:r>
      <w:r>
        <w:rPr>
          <w:highlight w:val="yellow"/>
        </w:rPr>
        <w:t>{versie}</w:t>
      </w:r>
      <w:r>
        <w:t>,</w:t>
      </w:r>
    </w:p>
    <w:p>
      <w:pPr>
        <w:pStyle w:val="Lijstopsomteken1"/>
        <w:numPr>
          <w:ilvl w:val="0"/>
        </w:numPr>
      </w:pPr>
      <w:r>
        <w:t xml:space="preserve">Informatiebeveiligingsplan (IB-plan), versie </w:t>
      </w:r>
      <w:r>
        <w:rPr>
          <w:highlight w:val="yellow"/>
        </w:rPr>
        <w:t>{versie}</w:t>
      </w:r>
      <w:r>
        <w:t>,</w:t>
      </w:r>
    </w:p>
    <w:p>
      <w:pPr>
        <w:pStyle w:val="Lijstopsomteken1"/>
        <w:numPr>
          <w:ilvl w:val="0"/>
        </w:numPr>
      </w:pPr>
      <w:r>
        <w:t xml:space="preserve">Kwaliteitsplan, versie </w:t>
      </w:r>
      <w:r>
        <w:rPr>
          <w:highlight w:val="yellow"/>
        </w:rPr>
        <w:t>{versie}</w:t>
      </w:r>
      <w:r>
        <w:t>,</w:t>
      </w:r>
    </w:p>
    <w:p>
      <w:pPr>
        <w:pStyle w:val="Lijstopsomteken1"/>
        <w:numPr>
          <w:ilvl w:val="0"/>
        </w:numPr>
      </w:pPr>
      <w:r>
        <w:t xml:space="preserve">Niet-functionele eisen (NFE), versie </w:t>
      </w:r>
      <w:r>
        <w:rPr>
          <w:highlight w:val="yellow"/>
        </w:rPr>
        <w:t>{versie}</w:t>
      </w:r>
      <w:r>
        <w:t>,</w:t>
      </w:r>
    </w:p>
    <w:p>
      <w:pPr>
        <w:pStyle w:val="Lijstopsomteken1"/>
        <w:numPr>
          <w:ilvl w:val="0"/>
        </w:numPr>
      </w:pPr>
      <w:r>
        <w:t xml:space="preserve">Globaal functioneel ontwerp (GFO), versie </w:t>
      </w:r>
      <w:r>
        <w:rPr>
          <w:highlight w:val="yellow"/>
        </w:rPr>
        <w:t>{versie}</w:t>
      </w:r>
      <w:r>
        <w:t>,</w:t>
      </w:r>
    </w:p>
    <w:p>
      <w:pPr>
        <w:pStyle w:val="Lijstopsomteken1"/>
        <w:numPr>
          <w:ilvl w:val="0"/>
        </w:numPr>
      </w:pPr>
      <w:r>
        <w:t xml:space="preserve">Interactie-ontwerp (UX), versie </w:t>
      </w:r>
      <w:r>
        <w:rPr>
          <w:highlight w:val="yellow"/>
        </w:rPr>
        <w:t>{versie}</w:t>
      </w:r>
      <w:r>
        <w:t>,</w:t>
      </w:r>
    </w:p>
    <w:p>
      <w:pPr>
        <w:pStyle w:val="Lijstopsomteken1"/>
        <w:numPr>
          <w:ilvl w:val="0"/>
        </w:numPr>
      </w:pPr>
      <w:r>
        <w:t xml:space="preserve">Geprioriteerde backlog met user stories, versie </w:t>
      </w:r>
      <w:r>
        <w:rPr>
          <w:highlight w:val="yellow"/>
        </w:rPr>
        <w:t>{versie}</w:t>
      </w:r>
      <w:r>
        <w:t>,</w:t>
      </w:r>
    </w:p>
    <w:p>
      <w:pPr>
        <w:pStyle w:val="Lijstopsomteken1"/>
        <w:numPr>
          <w:ilvl w:val="0"/>
        </w:numPr>
      </w:pPr>
      <w:r>
        <w:t xml:space="preserve">Vastgesteld minimal viable product, versie </w:t>
      </w:r>
      <w:r>
        <w:rPr>
          <w:highlight w:val="yellow"/>
        </w:rPr>
        <w:t>{versie}</w:t>
      </w:r>
      <w:r>
        <w:t>,</w:t>
      </w:r>
    </w:p>
    <w:p>
      <w:pPr>
        <w:pStyle w:val="Lijstopsomteken1"/>
        <w:numPr>
          <w:ilvl w:val="0"/>
        </w:numPr>
      </w:pPr>
      <w:r>
        <w:t xml:space="preserve">Wireframe, mockup, prototype, animatie, versie </w:t>
      </w:r>
      <w:r>
        <w:rPr>
          <w:highlight w:val="yellow"/>
        </w:rPr>
        <w:t>{versie}</w:t>
      </w:r>
      <w:r>
        <w:t>,</w:t>
      </w:r>
    </w:p>
    <w:p>
      <w:pPr>
        <w:pStyle w:val="Lijstopsomteken1"/>
        <w:numPr>
          <w:ilvl w:val="0"/>
        </w:numPr>
      </w:pPr>
      <w:r>
        <w:t xml:space="preserve">Tussentijdse rapportage t.b.v. go/no-go besluit, versie </w:t>
      </w:r>
      <w:r>
        <w:rPr>
          <w:highlight w:val="yellow"/>
        </w:rPr>
        <w:t>{versie}</w:t>
      </w:r>
      <w:r>
        <w:t>.</w:t>
      </w:r>
    </w:p>
    <w:p>
      <w:r>
        <w:rPr>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highlight w:val="yellow"/>
        </w:rPr>
        <w:t>{ontwikkelen en/of onderhouden}</w:t>
      </w:r>
      <w:r>
        <w:t xml:space="preserve"> software </w:t>
      </w:r>
      <w:r>
        <w:rPr>
          <w:highlight w:val="yellow"/>
        </w:rPr>
        <w:t>{beschrijving functionaliteit in hoofdlijnen van de software}</w:t>
      </w:r>
      <w:r>
        <w:t>.</w:t>
      </w:r>
    </w:p>
    <w:p>
      <w:r>
        <w:t xml:space="preserve">De software komt tot stand door middel van een agile aanpak met een doorlooptijd van </w:t>
      </w:r>
      <w:r>
        <w:rPr>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highlight w:val="yellow"/>
        </w:rPr>
        <w:t>{eventueel bijgewerkte andere documentatie waarvoor ICTU verantwoordelijk en/of penvoerder is, zoals testplannen en kwaliteitsplan}</w:t>
      </w:r>
      <w:r>
        <w:t>.</w:t>
      </w:r>
    </w:p>
    <w:p>
      <w:r>
        <w:rPr>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highlight w:val="yellow"/>
        </w:rPr>
        <w:t>{ontwikkeling en/of het onderhoud}</w:t>
      </w:r>
      <w:r>
        <w:t xml:space="preserve"> van </w:t>
      </w:r>
      <w:r>
        <w:rPr>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ZAP by Checkmarx, OpenVAS), toegankelijkheid (Axe), performancetesten (JMeter) en integrale kwaliteitsrapportage (Quality-time),</w:t>
      </w:r>
    </w:p>
    <w:p>
      <w:pPr>
        <w:pStyle w:val="Lijstopsomteken1"/>
        <w:numPr>
          <w:ilvl w:val="0"/>
        </w:numPr>
      </w:pPr>
      <w:r>
        <w:rPr>
          <w:highlight w:val="yellow"/>
        </w:rPr>
        <w:t>{Als operationeel beheer onderdeel is van de dienstverlening:}</w:t>
      </w:r>
      <w:r>
        <w:t xml:space="preserve"> Uitrollen in de productieomgeving (Ansible), container registry (Harbor), performance monitoring (APM), security monitoring (</w:t>
      </w:r>
      <w:r>
        <w:rPr>
          <w:highlight w:val="yellow"/>
        </w:rPr>
        <w:t>{vul aan met concreet product}</w:t>
      </w:r>
      <w:r>
        <w:t>), controle van kwetsbaarheden in frameworks (</w:t>
      </w:r>
      <w:r>
        <w:rPr>
          <w:highlight w:val="yellow"/>
        </w:rPr>
        <w:t>{vul aan met concreet product}</w:t>
      </w:r>
      <w:r>
        <w:t>), controle van images van containers (Trivy), registratie van incidenten bij gebruik en beheer (Topdesk of Jira).</w:t>
      </w:r>
    </w:p>
    <w:p>
      <w:pPr>
        <w:pStyle w:val="Lijstopsomteken1"/>
        <w:numPr>
          <w:ilvl w:val="0"/>
        </w:numPr>
      </w:pPr>
      <w:r>
        <w:t>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highlight w:val="yellow"/>
        </w:rPr>
        <w:t>{Beschrijf hier eventuele andere afspraken met de opdrachtgevende organisatie}</w:t>
      </w:r>
      <w:r>
        <w:t>.</w:t>
      </w:r>
    </w:p>
    <w:p>
      <w:r>
        <w:rPr>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highlight w:val="yellow"/>
        </w:rPr>
        <w:t>{Vul aan en pas aan waar nodig}</w:t>
      </w:r>
    </w:p>
    <w:p>
      <w:pPr>
        <w:pStyle w:val="Kop2"/>
      </w:pPr>
      <w:r>
        <w:t>Werving</w:t>
      </w:r>
    </w:p>
    <w:p>
      <w:r>
        <w:t xml:space="preserve">Direct na de opdrachtverstrekking start ICTU met de bemensing van het project ten behoeve van de realisatiefase. </w:t>
      </w:r>
      <w:r>
        <w:rPr>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highlight w:val="yellow"/>
        </w:rPr>
        <w:t>{opdrachtgevende organisatie}</w:t>
      </w:r>
      <w:r>
        <w:t xml:space="preserve">, </w:t>
      </w:r>
      <w:r>
        <w:rPr>
          <w:highlight w:val="yellow"/>
        </w:rPr>
        <w:t>{partijen}</w:t>
      </w:r>
      <w:r>
        <w:t xml:space="preserve"> en ICTU werken gezamenlijk aan de op te leveren software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software</w:t>
      </w:r>
    </w:p>
    <w:p>
      <w:r>
        <w:t xml:space="preserve">De realisatiefase bestaat uit </w:t>
      </w:r>
      <w:r>
        <w:rPr>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highlight w:val="yellow"/>
        </w:rPr>
        <w:t>{opdrachtgevende organisatie}</w:t>
      </w:r>
      <w:r>
        <w:t xml:space="preserve"> deze later alsnog verwerken of ICTU vragen dit in een eventuele vervolgopdracht uit te voeren.</w:t>
      </w:r>
    </w:p>
    <w:p>
      <w:r>
        <w:rPr>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Prioritering user stories, sprintplanning, demo, onderhouden backlog</w:t>
            </w:r>
          </w:p>
        </w:tc>
      </w:tr>
      <w:tr>
        <w:tc>
          <w:tcPr>
            <w:tcW w:type="auto" w:w="3023"/>
          </w:tcPr>
          <w:p>
            <w:pPr>
              <w:jc w:val="left"/>
            </w:pPr>
            <w:r>
              <w:t>Business analist</w:t>
            </w:r>
          </w:p>
        </w:tc>
        <w:tc>
          <w:tcPr>
            <w:tcW w:type="auto" w:w="3023"/>
          </w:tcPr>
          <w:p>
            <w:pPr>
              <w:jc w:val="left"/>
            </w:pPr>
            <w:r>
              <w:rPr>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highlight w:val="yellow"/>
        </w:rPr>
        <w:t>{aantal}</w:t>
      </w:r>
      <w:r>
        <w:t xml:space="preserve"> weken na ondertekening van het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t>De risico’s worden door het project bijgehouden in het risicolog. De risico’s en de mitigerende maatregelen worden in de realisatiefase bewaakt en waar nodig geactualiseerd.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opdrachtgever of product owner de productvisie uiteenzet.</w:t>
            </w:r>
          </w:p>
        </w:tc>
      </w:tr>
      <w:tr>
        <w:tc>
          <w:tcPr>
            <w:tcW w:type="auto" w:w="4535"/>
          </w:tcPr>
          <w:p>
            <w:pPr>
              <w:jc w:val="left"/>
            </w:pPr>
            <w:r>
              <w:t>Scope-uitbreiding, gebrek aan focus</w:t>
            </w:r>
          </w:p>
        </w:tc>
        <w:tc>
          <w:tcPr>
            <w:tcW w:type="auto" w:w="4535"/>
          </w:tcPr>
          <w:p>
            <w:pPr>
              <w:jc w:val="left"/>
            </w:pPr>
            <w:r>
              <w:t xml:space="preserve">Scope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{Bij DevOps werkwijze}</w:t>
            </w:r>
            <w:r>
              <w:t xml:space="preserve"> Onduidelijkheid over de verdeling van verantwoordelijkheden tussen DevOps-team en beheerorganisatie (incident management, backup &amp; restore, etc.)</w:t>
            </w:r>
          </w:p>
        </w:tc>
        <w:tc>
          <w:tcPr>
            <w:tcW w:type="auto" w:w="4535"/>
          </w:tcPr>
          <w:p>
            <w:pPr>
              <w:jc w:val="left"/>
            </w:pPr>
            <w:r>
              <w:t>Afspraken over onderlinge samenwerking vastleggen in een dossier afspraken en procedures (DAP).</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onderhouden UX-richtlijnen, maken en onderhouden prototype </w:t>
            </w:r>
            <w:r>
              <w:rPr>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highlight w:val="yellow"/>
              </w:rPr>
              <w:t>{Projectspecifieke producten}</w:t>
            </w:r>
          </w:p>
        </w:tc>
        <w:tc>
          <w:tcPr>
            <w:tcW w:type="auto" w:w="2267"/>
          </w:tcPr>
          <w:p>
            <w:pPr>
              <w:jc w:val="left"/>
            </w:pPr>
            <w:r>
              <w:rPr>
                <w:highlight w:val="yellow"/>
              </w:rPr>
              <w:t>{waar}</w:t>
            </w:r>
          </w:p>
        </w:tc>
        <w:tc>
          <w:tcPr>
            <w:tcW w:type="auto" w:w="2267"/>
          </w:tcPr>
          <w:p>
            <w:pPr>
              <w:jc w:val="left"/>
            </w:pPr>
            <w:r>
              <w:rPr>
                <w:highlight w:val="yellow"/>
              </w:rPr>
              <w:t>{wie}</w:t>
            </w:r>
          </w:p>
        </w:tc>
        <w:tc>
          <w:tcPr>
            <w:tcW w:type="auto" w:w="2267"/>
          </w:tcPr>
          <w:p>
            <w:pPr>
              <w:jc w:val="left"/>
            </w:pPr>
            <w:r>
              <w:rPr>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