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13-11-2025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color w:val="000000"/>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color w:val="000000"/>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1 - </w:t>
      </w:r>
      <w:r>
        <w:rPr>
          <w:color w:val="000000"/>
          <w:highlight w:val="yellow"/>
        </w:rPr>
        <w:t>{naam koppelvlak, bijvoorbeeld: Identiteiten- en autorisatiessysteem}</w:t>
      </w:r>
    </w:p>
    <w:p>
      <w:pPr>
        <w:pStyle w:val="Kop3"/>
      </w:pPr>
      <w:r>
        <w:t xml:space="preserve">Koppelvlak 2 - </w:t>
      </w:r>
      <w:r>
        <w:rPr>
          <w:color w:val="000000"/>
          <w:highlight w:val="yellow"/>
        </w:rPr>
        <w:t>{naam koppelvlak}</w:t>
      </w:r>
    </w:p>
    <w:p>
      <w:pPr>
        <w:pStyle w:val="Kop3"/>
      </w:pPr>
      <w:r>
        <w:t xml:space="preserve">Koppelvlak 3 - </w:t>
      </w:r>
      <w:r>
        <w:rPr>
          <w:color w:val="000000"/>
          <w:highlight w:val="yellow"/>
        </w:rPr>
        <w:t>{naam koppelvlak}</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pPr>
        <w:pStyle w:val="Kop1"/>
      </w:pPr>
      <w:r>
        <w:t>Performance view</w:t>
      </w:r>
    </w:p>
    <w:p>
      <w:pPr>
        <w:pStyle w:val="Kop2"/>
      </w:pPr>
      <w:r>
        <w:t>Inleiding</w:t>
      </w:r>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pPr>
        <w:pStyle w:val="Kop2"/>
      </w:pPr>
      <w:r>
        <w:t>Belasting</w:t>
      </w:r>
    </w:p>
    <w:p>
      <w:r>
        <w:rPr>
          <w:color w:val="000000"/>
          <w:highlight w:val="yellow"/>
        </w:rPr>
        <w:t>{Beschrijf of verwijs naar de verwachte belasting van het systeem: aantallen gebruikers, aantallen transacties, hoeveelheden te bewaren data, etc.}</w:t>
      </w:r>
    </w:p>
    <w:p>
      <w:pPr>
        <w:pStyle w:val="Kop2"/>
      </w:pPr>
      <w:r>
        <w:t>Snelheid (time behavior)</w:t>
      </w:r>
    </w:p>
    <w:p>
      <w:r>
        <w:rPr>
          <w:color w:val="000000"/>
          <w:highlight w:val="yellow"/>
        </w:rPr>
        <w:t>{Beschrijf hoe de applicatie de gewenste response tijden en throughput gaat realiseren}</w:t>
      </w:r>
    </w:p>
    <w:p>
      <w:pPr>
        <w:pStyle w:val="Kop2"/>
      </w:pPr>
      <w:r>
        <w:t>Middelen beslag (resource utilization)</w:t>
      </w:r>
    </w:p>
    <w:p>
      <w:r>
        <w:rPr>
          <w:color w:val="000000"/>
          <w:highlight w:val="yellow"/>
        </w:rPr>
        <w:t>{Beschrijf welke en hoeveel middelen (denk aan storage, bandbreedte, rekencapaciteit) nodig zijn voor de vereiste performance}</w:t>
      </w:r>
    </w:p>
    <w:p>
      <w:pPr>
        <w:pStyle w:val="Kop2"/>
      </w:pPr>
      <w:r>
        <w:t>Schaalbaarheid</w:t>
      </w:r>
    </w:p>
    <w:p>
      <w:r>
        <w:rPr>
          <w:color w:val="000000"/>
          <w:highlight w:val="yellow"/>
        </w:rPr>
        <w:t>{Beschrijf hoe de applicatie horizontaal danwel verticaal schaalbaar is}</w:t>
      </w:r>
    </w:p>
    <w:p>
      <w:pPr>
        <w:pStyle w:val="Kop1"/>
      </w:pPr>
      <w:r>
        <w:t>Overige architectureel-significante niet-functionele eigenschappen</w:t>
      </w:r>
    </w:p>
    <w:p>
      <w:r>
        <w:rPr>
          <w:color w:val="000000"/>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4">
              <w:r>
                <w:rPr>
                  <w:rStyle w:val="Hyperlink"/>
                </w:rPr>
                <w:t>NEN 7510-2:2024</w:t>
              </w:r>
            </w:hyperlink>
          </w:p>
        </w:tc>
        <w:tc>
          <w:tcPr>
            <w:tcW w:type="auto" w:w="4535"/>
          </w:tcPr>
          <w:p>
            <w:pPr>
              <w:jc w:val="left"/>
            </w:pP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23-nl-314206" TargetMode="External"/><Relationship Id="rId23" Type="http://schemas.openxmlformats.org/officeDocument/2006/relationships/hyperlink" Target="https://www.nen.nl/nen-en-iso-iec-27002-2022-nl-304509" TargetMode="External"/><Relationship Id="rId24" Type="http://schemas.openxmlformats.org/officeDocument/2006/relationships/hyperlink" Target="https://www.nen.nl/nen-7510-2-2024-nl-331314"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4-10-01/0"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