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21-03-2025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analyse,</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Tevens onderhoudt de opdrachtgevende organisatie deze informatie tijdens de voorfase en realisatiefase.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analyse en privacy impact assessment</w:t>
      </w:r>
    </w:p>
    <w:p>
      <w:r>
        <w:t xml:space="preserve">De opdrachtgevende organisatie zorgt dat het project bij de start van de voorfase inzicht heeft in de informatie die typisch wordt vastgelegd in een projectstartarchitectuur, business impact analyse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product en sprint 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r>
        <w:t>ICTU adviseert en ondersteunt voor de genoemde taken onderstaande tools. Projecten gebruiken deze tools, of gelijkwaardige alternatieven:</w:t>
      </w:r>
    </w:p>
    <w:p>
      <w:pPr>
        <w:pStyle w:val="Lijstnummering1"/>
        <w:numPr>
          <w:ilvl w:val="0"/>
          <w:numId w:val="24"/>
        </w:numPr>
      </w:pPr>
      <w:r>
        <w:t>product en sprint 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 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product en sprint 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