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19-06-2026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bookmarkStart w:id="0" w:name="doelgroep"/>
      <w:pPr>
        <w:pStyle w:val="Kop2"/>
      </w:pPr>
      <w:r>
        <w:t>Doelgroep</w:t>
      </w:r>
      <w:bookmarkEnd w:id="0" w:name="doelgroep"/>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U03</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De eisen en wensen die ten grondslag liggen aan dit globaal functioneel ontwerp zijn beschreven als functionele eisen in de vorm van een product backlog met epics en user stories, als niet-functionele eisen in de vorm van een NFE-document, en in het informatiebeveiligingsplan.</w:t>
      </w:r>
    </w:p>
    <w:p>
      <w:r>
        <w:t>De architectuur, die ten grondslag ligt aan de oplossing, staat beschreven in de projectstartarchitectuur. De beschrijving van de architectuur van de oplossing staat in het software-architectuurdocument.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Product backlog met epics en user stories</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 xml:space="preserve">Het GFO zelf vormt input voor de testplannen </w:t>
      </w:r>
      <w:r>
        <w:rPr>
          <w:color w:val="000000"/>
          <w:highlight w:val="yellow"/>
        </w:rPr>
        <w:t>{documentreferentie}</w:t>
      </w:r>
      <w:r>
        <w:t>.</w:t>
      </w:r>
    </w:p>
    <w:p>
      <w:bookmarkStart w:id="0" w:name="leeswijzer"/>
      <w:pPr>
        <w:pStyle w:val="Kop2"/>
      </w:pPr>
      <w:r>
        <w:t>Leeswijzer</w:t>
      </w:r>
      <w:bookmarkEnd w:id="0" w:name="leeswijzer"/>
    </w:p>
    <w:p>
      <w:hyperlink r:id="rId16">
        <w:r>
          <w:rPr>
            <w:rStyle w:val="Hyperlink"/>
          </w:rPr>
          <w:t>Hoofdstuk 3</w:t>
        </w:r>
      </w:hyperlink>
      <w:r>
        <w:t xml:space="preserve"> beschrijft de context van de applicatie. In </w:t>
      </w:r>
      <w:hyperlink r:id="rId17">
        <w:r>
          <w:rPr>
            <w:rStyle w:val="Hyperlink"/>
          </w:rPr>
          <w:t>hoofdstuk 4</w:t>
        </w:r>
      </w:hyperlink>
      <w:r>
        <w:t xml:space="preserve"> is de werking op hoofdlijnen beschreven. </w:t>
      </w:r>
      <w:hyperlink r:id="rId18">
        <w:r>
          <w:rPr>
            <w:rStyle w:val="Hyperlink"/>
          </w:rPr>
          <w:t>Hoofdstuk 5</w:t>
        </w:r>
      </w:hyperlink>
      <w:r>
        <w:t xml:space="preserve"> bevat de use cases.</w:t>
      </w:r>
    </w:p>
    <w:p>
      <w:hyperlink r:id="rId19">
        <w:r>
          <w:rPr>
            <w:rStyle w:val="Hyperlink"/>
          </w:rPr>
          <w:t>Bijlage A</w:t>
        </w:r>
      </w:hyperlink>
      <w:r>
        <w:t xml:space="preserve"> bevat afkortingen en termen die voorkomen in de ICTU Kwaliteitsaanpak Softwareontwikkeling en bijbehorende templates. </w:t>
      </w:r>
      <w:hyperlink r:id="rId20">
        <w:r>
          <w:rPr>
            <w:rStyle w:val="Hyperlink"/>
          </w:rPr>
          <w:t>Bijlage B</w:t>
        </w:r>
      </w:hyperlink>
      <w:r>
        <w:t xml:space="preserve"> verwijst naar regelmatig gebruikte bronnen. </w:t>
      </w:r>
      <w:hyperlink r:id="rId21">
        <w:r>
          <w:rPr>
            <w:rStyle w:val="Hyperlink"/>
          </w:rPr>
          <w:t>Bijlage C</w:t>
        </w:r>
      </w:hyperlink>
      <w:r>
        <w:t xml:space="preserve"> bevat een beknopte samenvatting van de ICTU Kwaliteitsaanpak Softwareontwikkeling.</w:t>
      </w:r>
    </w:p>
    <w:p>
      <w:bookmarkStart w:id="0" w:name="context"/>
      <w:pPr>
        <w:pStyle w:val="Kop1"/>
      </w:pPr>
      <w:r>
        <w:t>Context</w:t>
      </w:r>
      <w:bookmarkEnd w:id="0" w:name="context"/>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bookmarkStart w:id="0" w:name="betrokken-organisaties-en-gebruikers"/>
      <w:pPr>
        <w:pStyle w:val="Kop2"/>
      </w:pPr>
      <w:r>
        <w:t>Betrokken organisaties en gebruikers</w:t>
      </w:r>
      <w:bookmarkEnd w:id="0" w:name="betrokken-organisaties-en-gebruikers"/>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bookmarkStart w:id="0" w:name="ondersteunde-processen"/>
      <w:pPr>
        <w:pStyle w:val="Kop2"/>
      </w:pPr>
      <w:r>
        <w:t>Ondersteunde processen</w:t>
      </w:r>
      <w:bookmarkEnd w:id="0" w:name="ondersteunde-processen"/>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bookmarkStart w:id="0" w:name="applicatielandschap"/>
      <w:pPr>
        <w:pStyle w:val="Kop2"/>
      </w:pPr>
      <w:r>
        <w:t>Applicatielandschap</w:t>
      </w:r>
      <w:bookmarkEnd w:id="0" w:name="applicatielandschap"/>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bookmarkStart w:id="0" w:name="werking-op-hoofdlijnen"/>
      <w:pPr>
        <w:pStyle w:val="Kop1"/>
      </w:pPr>
      <w:r>
        <w:t>Werking op hoofdlijnen</w:t>
      </w:r>
      <w:bookmarkEnd w:id="0" w:name="werking-op-hoofdlijnen"/>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bookmarkStart w:id="0" w:name="hoofdfuncties"/>
      <w:pPr>
        <w:pStyle w:val="Kop2"/>
      </w:pPr>
      <w:r>
        <w:t>Hoofdfuncties</w:t>
      </w:r>
      <w:bookmarkEnd w:id="0" w:name="hoofdfuncties"/>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bookmarkStart w:id="0" w:name="ondersteunende-functies"/>
      <w:pPr>
        <w:pStyle w:val="Kop2"/>
      </w:pPr>
      <w:r>
        <w:t>Ondersteunende functies</w:t>
      </w:r>
      <w:bookmarkEnd w:id="0" w:name="ondersteunende-functies"/>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bookmarkStart w:id="0" w:name="gegevensverzamelingen"/>
      <w:pPr>
        <w:pStyle w:val="Kop2"/>
      </w:pPr>
      <w:r>
        <w:t>Gegevensverzamelingen</w:t>
      </w:r>
      <w:bookmarkEnd w:id="0" w:name="gegevensverzamelingen"/>
    </w:p>
    <w:p>
      <w:r>
        <w:rPr>
          <w:color w:val="000000"/>
          <w:highlight w:val="yellow"/>
        </w:rPr>
        <w:t>{Beschrijf hier de belangrijkste gegevensverzamelingen in hoofdlijnen. Voeg een eventueel logisch gegevensmodel toe in een apart hoofdstuk of als bijlage.}</w:t>
      </w:r>
    </w:p>
    <w:p>
      <w:bookmarkStart w:id="0" w:name="klantreizen"/>
      <w:pPr>
        <w:pStyle w:val="Kop2"/>
      </w:pPr>
      <w:r>
        <w:t>Klantreizen</w:t>
      </w:r>
      <w:bookmarkEnd w:id="0" w:name="klantreizen"/>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bookmarkStart w:id="0" w:name="use-cases"/>
      <w:pPr>
        <w:pStyle w:val="Kop1"/>
      </w:pPr>
      <w:r>
        <w:t>Use cases</w:t>
      </w:r>
      <w:bookmarkEnd w:id="0" w:name="use-cases"/>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 xml:space="preserve">De use cases zijn gegroepeerd naar de functies zoals beschreven in </w:t>
      </w:r>
      <w:hyperlink r:id="rId17">
        <w:r>
          <w:rPr>
            <w:rStyle w:val="Hyperlink"/>
          </w:rPr>
          <w:t>het vorige hoofdstuk</w:t>
        </w:r>
      </w:hyperlink>
      <w:r>
        <w:t>.</w:t>
      </w:r>
    </w:p>
    <w:p>
      <w:bookmarkStart w:id="0" w:name="f1-naam-functie-1"/>
      <w:pPr>
        <w:pStyle w:val="Kop2"/>
      </w:pPr>
      <w:r>
        <w:t xml:space="preserve">F1 - </w:t>
      </w:r>
      <w:r>
        <w:rPr>
          <w:color w:val="000000"/>
          <w:highlight w:val="yellow"/>
        </w:rPr>
        <w:t>{naam functie 1}</w:t>
      </w:r>
      <w:bookmarkEnd w:id="0" w:name="f1-naam-functie-1"/>
    </w:p>
    <w:p>
      <w:r>
        <w:t>Deze paragraaf bevat de use cases behorende bij functie "</w:t>
      </w:r>
      <w:r>
        <w:rPr>
          <w:color w:val="000000"/>
          <w:highlight w:val="yellow"/>
        </w:rPr>
        <w:t>{functie}</w:t>
      </w:r>
      <w:r>
        <w:t>".</w:t>
      </w:r>
    </w:p>
    <w:p>
      <w:bookmarkStart w:id="0" w:name="uc1-1-naam-use-case-1-1"/>
      <w:pPr>
        <w:pStyle w:val="Kop3"/>
      </w:pPr>
      <w:r>
        <w:t xml:space="preserve">UC1.1 - </w:t>
      </w:r>
      <w:r>
        <w:rPr>
          <w:color w:val="000000"/>
          <w:highlight w:val="yellow"/>
        </w:rPr>
        <w:t>{naam use case 1.1}</w:t>
      </w:r>
      <w:bookmarkEnd w:id="0" w:name="uc1-1-naam-use-case-1-1"/>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bookmarkStart w:id="0" w:name="uc1-2-naam-use-case-1-2"/>
      <w:pPr>
        <w:pStyle w:val="Kop3"/>
      </w:pPr>
      <w:r>
        <w:t xml:space="preserve">UC1.2 - </w:t>
      </w:r>
      <w:r>
        <w:rPr>
          <w:color w:val="000000"/>
          <w:highlight w:val="yellow"/>
        </w:rPr>
        <w:t>{naam use case 1.2}</w:t>
      </w:r>
      <w:bookmarkEnd w:id="0" w:name="uc1-2-naam-use-case-1-2"/>
    </w:p>
    <w:p>
      <w:r>
        <w:rPr>
          <w:color w:val="000000"/>
          <w:highlight w:val="yellow"/>
        </w:rPr>
        <w:t>{Kopieer voorgaande subparagraaf om meer use cases toe te voegen.}</w:t>
      </w:r>
    </w:p>
    <w:p>
      <w:bookmarkStart w:id="0" w:name="f2-naam-functie-2"/>
      <w:pPr>
        <w:pStyle w:val="Kop2"/>
      </w:pPr>
      <w:r>
        <w:t xml:space="preserve">F2 - </w:t>
      </w:r>
      <w:r>
        <w:rPr>
          <w:color w:val="000000"/>
          <w:highlight w:val="yellow"/>
        </w:rPr>
        <w:t>{naam functie 2}</w:t>
      </w:r>
      <w:bookmarkEnd w:id="0" w:name="f2-naam-functie-2"/>
    </w:p>
    <w:p>
      <w:r>
        <w:rPr>
          <w:color w:val="000000"/>
          <w:highlight w:val="yellow"/>
        </w:rPr>
        <w:t>{Kopieer voorgaande paragraaf om meer functies toe te voegen.}</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2">
              <w:r>
                <w:rPr>
                  <w:rStyle w:val="Hyperlink"/>
                </w:rPr>
                <w:t>BIO</w:t>
              </w:r>
            </w:hyperlink>
          </w:p>
        </w:tc>
        <w:tc>
          <w:tcPr>
            <w:tcW w:type="auto" w:w="4535"/>
          </w:tcPr>
          <w:p>
            <w:pPr>
              <w:jc w:val="left"/>
            </w:pPr>
            <w:r>
              <w:t>Baseline Informatiebeveiliging Overheid.</w:t>
            </w:r>
          </w:p>
        </w:tc>
      </w:tr>
      <w:tr>
        <w:tc>
          <w:tcPr>
            <w:tcW w:type="auto" w:w="4535"/>
          </w:tcPr>
          <w:p>
            <w:pPr>
              <w:jc w:val="left"/>
            </w:pPr>
            <w:hyperlink r:id="rId23">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4">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5">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6">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7">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8">
              <w:r>
                <w:rPr>
                  <w:rStyle w:val="Hyperlink"/>
                </w:rPr>
                <w:t>NEN 7510-2:2024</w:t>
              </w:r>
            </w:hyperlink>
          </w:p>
        </w:tc>
        <w:tc>
          <w:tcPr>
            <w:tcW w:type="auto" w:w="4535"/>
          </w:tcPr>
          <w:p>
            <w:pPr>
              <w:jc w:val="left"/>
            </w:pPr>
          </w:p>
        </w:tc>
      </w:tr>
      <w:tr>
        <w:tc>
          <w:tcPr>
            <w:tcW w:type="auto" w:w="4535"/>
          </w:tcPr>
          <w:p>
            <w:pPr>
              <w:jc w:val="left"/>
            </w:pPr>
            <w:hyperlink r:id="rId29">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0">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1">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2">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3">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4">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5">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36">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7">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8">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9">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0">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context" TargetMode="External"/><Relationship Id="rId17" Type="http://schemas.openxmlformats.org/officeDocument/2006/relationships/hyperlink" Target="#werking-op-hoofdlijnen" TargetMode="External"/><Relationship Id="rId18" Type="http://schemas.openxmlformats.org/officeDocument/2006/relationships/hyperlink" Target="#use-cases" TargetMode="External"/><Relationship Id="rId19" Type="http://schemas.openxmlformats.org/officeDocument/2006/relationships/hyperlink" Target="#terminologie-en-afkortingen" TargetMode="External"/><Relationship Id="rId20" Type="http://schemas.openxmlformats.org/officeDocument/2006/relationships/hyperlink" Target="#bronnen" TargetMode="External"/><Relationship Id="rId21" Type="http://schemas.openxmlformats.org/officeDocument/2006/relationships/hyperlink" Target="#de-ictu-kwaliteitsaanpak-softwareontwikk" TargetMode="External"/><Relationship Id="rId22" Type="http://schemas.openxmlformats.org/officeDocument/2006/relationships/hyperlink" Target="https://www.bio-overheid.nl/media/dr4inbhc/20260109-baseline-informatiebeveiliging-overheid-2-bio2-v13-def.pdf" TargetMode="External"/><Relationship Id="rId23" Type="http://schemas.openxmlformats.org/officeDocument/2006/relationships/hyperlink" Target="https://www.iso.org/standard/77520.html" TargetMode="External"/><Relationship Id="rId24" Type="http://schemas.openxmlformats.org/officeDocument/2006/relationships/hyperlink" Target="https://www.ncsc.nl/documenten/publicaties/2019/mei/01/ict-beveiligingsrichtlijnen-voor-webapplicaties" TargetMode="External"/><Relationship Id="rId25" Type="http://schemas.openxmlformats.org/officeDocument/2006/relationships/hyperlink" Target="https://www.nen.nl/nen-iso-iec-25010-2023-en-318088" TargetMode="External"/><Relationship Id="rId26" Type="http://schemas.openxmlformats.org/officeDocument/2006/relationships/hyperlink" Target="https://www.nen.nl/nen-en-iso-iec-27001-2023-nl-314206" TargetMode="External"/><Relationship Id="rId27" Type="http://schemas.openxmlformats.org/officeDocument/2006/relationships/hyperlink" Target="https://www.nen.nl/nen-en-iso-iec-27002-2022-nl-304509" TargetMode="External"/><Relationship Id="rId28" Type="http://schemas.openxmlformats.org/officeDocument/2006/relationships/hyperlink" Target="https://www.nen.nl/nen-7510-2-2024-nl-331314" TargetMode="External"/><Relationship Id="rId29" Type="http://schemas.openxmlformats.org/officeDocument/2006/relationships/hyperlink" Target="https://www.nen.nl/npr-5325-2017-nl-238298" TargetMode="External"/><Relationship Id="rId30" Type="http://schemas.openxmlformats.org/officeDocument/2006/relationships/hyperlink" Target="https://www.nen.nl/npr-5326-2019-nl-262885" TargetMode="External"/><Relationship Id="rId31" Type="http://schemas.openxmlformats.org/officeDocument/2006/relationships/hyperlink" Target="https://www.noraonline.nl" TargetMode="External"/><Relationship Id="rId32" Type="http://schemas.openxmlformats.org/officeDocument/2006/relationships/hyperlink" Target="https://owasp.org/www-project-top-ten/" TargetMode="External"/><Relationship Id="rId33" Type="http://schemas.openxmlformats.org/officeDocument/2006/relationships/hyperlink" Target="https://scrumguides.org/docs/scrumguide/v2020/2020-Scrum-Guide-Dutch.pdf" TargetMode="External"/><Relationship Id="rId34" Type="http://schemas.openxmlformats.org/officeDocument/2006/relationships/hyperlink" Target="https://wetten.overheid.nl/BWBR0022141/2007-07-01" TargetMode="External"/><Relationship Id="rId35" Type="http://schemas.openxmlformats.org/officeDocument/2006/relationships/hyperlink" Target="https://wetten.overheid.nl/BWBR0051482/2025-09-09/" TargetMode="External"/><Relationship Id="rId36" Type="http://schemas.openxmlformats.org/officeDocument/2006/relationships/hyperlink" Target="https://wetten.overheid.nl/BWBR0041515/2024-10-01/" TargetMode="External"/><Relationship Id="rId37" Type="http://schemas.openxmlformats.org/officeDocument/2006/relationships/hyperlink" Target="https://www.tweedekamer.nl/sites/default/files/field_uploads/33326-5-Eindrapport_tcm181-239826.pdf" TargetMode="External"/><Relationship Id="rId38" Type="http://schemas.openxmlformats.org/officeDocument/2006/relationships/hyperlink" Target="https://www.ictu.nl/kwaliteitsaanpak" TargetMode="External"/><Relationship Id="rId39" Type="http://schemas.openxmlformats.org/officeDocument/2006/relationships/hyperlink" Target="https://ictu.github.io/Kwaliteitsaanpak/wip/ICTU-Kwaliteitsaanpak-Wijzigingsgeschiedenis.html" TargetMode="External"/><Relationship Id="rId40"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