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{De hoofdboodschap van dit document.}</w:t>
      </w:r>
    </w:p>
    <w:p>
      <w:bookmarkStart w:id="0" w:name="inleiding"/>
      <w:pPr>
        <w:pStyle w:val="Kop1"/>
      </w:pPr>
      <w:r>
        <w:t>Inleiding</w:t>
      </w:r>
      <w:bookmarkEnd w:id="0" w:name="inleiding"/>
    </w:p>
    <w:p>
      <w:bookmarkStart w:id="0" w:name="over-dit-document"/>
      <w:pPr>
        <w:pStyle w:val="Kop2"/>
      </w:pPr>
      <w:r>
        <w:t>Over dit document</w:t>
      </w:r>
      <w:bookmarkEnd w:id="0" w:name="over-dit-document"/>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bookmarkStart w:id="0" w:name="doelgroep"/>
      <w:pPr>
        <w:pStyle w:val="Kop2"/>
      </w:pPr>
      <w:r>
        <w:t>Doelgroep</w:t>
      </w:r>
      <w:bookmarkEnd w:id="0" w:name="doelgroep"/>
    </w:p>
    <w:p>
      <w:r>
        <w:t>Dit document is bedoeld voor leden van het project en voor betrokken medewerkers buiten het project van opdrachtgever, beheerorganisatie en ontwikkelpartij.</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U03</w:t>
            </w:r>
          </w:p>
        </w:tc>
        <w:tc>
          <w:tcPr>
            <w:tcW w:type="auto" w:w="4535"/>
          </w:tcPr>
          <w:p>
            <w:pPr>
              <w:jc w:val="left"/>
            </w:pPr>
            <w:r>
              <w:t>De als testbasis geïdentificeerde documenten zijn door alle acceptanten geaccordeerd, alvorens met de testspecificatie wordt begonnen.</w:t>
            </w:r>
          </w:p>
        </w:tc>
      </w:tr>
      <w:tr>
        <w:tc>
          <w:tcPr>
            <w:tcW w:type="auto" w:w="4535"/>
          </w:tcPr>
          <w:p>
            <w:pPr>
              <w:jc w:val="left"/>
            </w:pPr>
            <w:r>
              <w:t>U04</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U06</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U07</w:t>
            </w:r>
          </w:p>
        </w:tc>
        <w:tc>
          <w:tcPr>
            <w:tcW w:type="auto" w:w="4535"/>
          </w:tcPr>
          <w:p>
            <w:pPr>
              <w:jc w:val="left"/>
            </w:pPr>
            <w:r>
              <w:t>Testomgevingen worden conform planning tijdig en correct werkend opgeleverd.</w:t>
            </w:r>
          </w:p>
        </w:tc>
      </w:tr>
      <w:tr>
        <w:tc>
          <w:tcPr>
            <w:tcW w:type="auto" w:w="4535"/>
          </w:tcPr>
          <w:p>
            <w:pPr>
              <w:jc w:val="left"/>
            </w:pPr>
            <w:r>
              <w:t>U08</w:t>
            </w:r>
          </w:p>
        </w:tc>
        <w:tc>
          <w:tcPr>
            <w:tcW w:type="auto" w:w="4535"/>
          </w:tcPr>
          <w:p>
            <w:pPr>
              <w:jc w:val="left"/>
            </w:pPr>
            <w:r>
              <w:t xml:space="preserve">Er is voldoende en gepaste testdata ter beschikking. Zie de paragraaf </w:t>
            </w:r>
            <w:hyperlink r:id="rId14">
              <w:r>
                <w:rPr>
                  <w:rStyle w:val="Hyperlink"/>
                </w:rPr>
                <w:t>Testomgevingen</w:t>
              </w:r>
            </w:hyperlink>
            <w:r>
              <w:t xml:space="preserve"> in het hoofdstuk </w:t>
            </w:r>
            <w:hyperlink r:id="rId15">
              <w:r>
                <w:rPr>
                  <w:rStyle w:val="Hyperlink"/>
                </w:rPr>
                <w:t>Testinfrastructuur</w:t>
              </w:r>
            </w:hyperlink>
            <w:r>
              <w:t xml:space="preserve">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getest en de tests worden opgenomen in de geautomatiseerde regressietest.</w:t>
            </w:r>
          </w:p>
        </w:tc>
      </w:tr>
      <w:tr>
        <w:tc>
          <w:tcPr>
            <w:tcW w:type="auto" w:w="4535"/>
          </w:tcPr>
          <w:p>
            <w:pPr>
              <w:jc w:val="left"/>
            </w:pPr>
            <w:r>
              <w:t>U12</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Daarnaast is ten behoeve van het mastertestplan een productrisicoanalyse uitgevoerd. Zie de paragraaf </w:t>
      </w:r>
      <w:hyperlink r:id="rId16">
        <w:r>
          <w:rPr>
            <w:rStyle w:val="Hyperlink"/>
          </w:rPr>
          <w:t>Resultaat productrisicoanalyse</w:t>
        </w:r>
      </w:hyperlink>
      <w:r>
        <w:t>.</w:t>
      </w:r>
    </w:p>
    <w:p>
      <w:r>
        <w:rPr>
          <w:color w:val="000000"/>
          <w:highlight w:val="yellow"/>
        </w:rPr>
        <w:t>{Beschrijf ook een eventuele relatie met andere documenten}</w:t>
      </w:r>
    </w:p>
    <w:p>
      <w:bookmarkStart w:id="0" w:name="leeswijzer"/>
      <w:pPr>
        <w:pStyle w:val="Kop2"/>
      </w:pPr>
      <w:r>
        <w:t>Leeswijzer</w:t>
      </w:r>
      <w:bookmarkEnd w:id="0" w:name="leeswijzer"/>
    </w:p>
    <w:p>
      <w:hyperlink r:id="rId17">
        <w:r>
          <w:rPr>
            <w:rStyle w:val="Hyperlink"/>
          </w:rPr>
          <w:t>Hoofdstuk 3</w:t>
        </w:r>
      </w:hyperlink>
      <w:r>
        <w:t xml:space="preserve"> beschrijft de testopdracht. </w:t>
      </w:r>
      <w:hyperlink r:id="rId18">
        <w:r>
          <w:rPr>
            <w:rStyle w:val="Hyperlink"/>
          </w:rPr>
          <w:t>Hoofdstuk 4</w:t>
        </w:r>
      </w:hyperlink>
      <w:r>
        <w:t xml:space="preserve"> beschrijft de resultaten van de productrisicoanalyse en de resulterende teststrategie. </w:t>
      </w:r>
      <w:hyperlink r:id="rId19">
        <w:r>
          <w:rPr>
            <w:rStyle w:val="Hyperlink"/>
          </w:rPr>
          <w:t>Hoofdstuk 5</w:t>
        </w:r>
      </w:hyperlink>
      <w:r>
        <w:t xml:space="preserve"> bespreekt de aanpak van de uit te voeren testen. </w:t>
      </w:r>
      <w:hyperlink r:id="rId20">
        <w:r>
          <w:rPr>
            <w:rStyle w:val="Hyperlink"/>
          </w:rPr>
          <w:t>Hoofdstuk 6</w:t>
        </w:r>
      </w:hyperlink>
      <w:r>
        <w:t xml:space="preserve"> beschrijft de testorganisatie. </w:t>
      </w:r>
      <w:hyperlink r:id="rId15">
        <w:r>
          <w:rPr>
            <w:rStyle w:val="Hyperlink"/>
          </w:rPr>
          <w:t>Hoofdstuk 7</w:t>
        </w:r>
      </w:hyperlink>
      <w:r>
        <w:t xml:space="preserve"> bevat een overzicht van de testinfrastructuur. </w:t>
      </w:r>
      <w:hyperlink r:id="rId21">
        <w:r>
          <w:rPr>
            <w:rStyle w:val="Hyperlink"/>
          </w:rPr>
          <w:t>Hoofdstuk 8</w:t>
        </w:r>
      </w:hyperlink>
      <w:r>
        <w:t xml:space="preserve"> beschrijft het beheer van de testactiviteiten en testproducten. </w:t>
      </w:r>
      <w:hyperlink r:id="rId22">
        <w:r>
          <w:rPr>
            <w:rStyle w:val="Hyperlink"/>
          </w:rPr>
          <w:t>Hoofdstuk 9</w:t>
        </w:r>
      </w:hyperlink>
      <w:r>
        <w:t xml:space="preserve"> geeft een overzicht van de belangrijkste risico's voor het testproces. </w:t>
      </w:r>
      <w:hyperlink r:id="rId23">
        <w:r>
          <w:rPr>
            <w:rStyle w:val="Hyperlink"/>
          </w:rPr>
          <w:t>Hoofdstuk 10</w:t>
        </w:r>
      </w:hyperlink>
      <w:r>
        <w:t>, tenslotte, geeft een globale planning van de testactiviteiten.</w:t>
      </w:r>
    </w:p>
    <w:p>
      <w:hyperlink r:id="rId24">
        <w:r>
          <w:rPr>
            <w:rStyle w:val="Hyperlink"/>
          </w:rPr>
          <w:t>Bijlage A</w:t>
        </w:r>
      </w:hyperlink>
      <w:r>
        <w:t xml:space="preserve"> bevat afkortingen en termen die voorkomen in de ICTU Kwaliteitsaanpak Softwareontwikkeling en bijbehorende templates. </w:t>
      </w:r>
      <w:hyperlink r:id="rId25">
        <w:r>
          <w:rPr>
            <w:rStyle w:val="Hyperlink"/>
          </w:rPr>
          <w:t>Bijlage B</w:t>
        </w:r>
      </w:hyperlink>
      <w:r>
        <w:t xml:space="preserve"> verwijst naar regelmatig gebruikte bronnen. </w:t>
      </w:r>
      <w:hyperlink r:id="rId26">
        <w:r>
          <w:rPr>
            <w:rStyle w:val="Hyperlink"/>
          </w:rPr>
          <w:t>Bijlage C</w:t>
        </w:r>
      </w:hyperlink>
      <w:r>
        <w:t xml:space="preserve"> bevat een beknopte samenvatting van de ICTU Kwaliteitsaanpak Softwareontwikkeling.</w:t>
      </w:r>
    </w:p>
    <w:p>
      <w:bookmarkStart w:id="0" w:name="opdrachtformulering-voor-de-uit-te-voere"/>
      <w:pPr>
        <w:pStyle w:val="Kop1"/>
      </w:pPr>
      <w:r>
        <w:t>Opdrachtformulering voor de uit te voeren tests</w:t>
      </w:r>
      <w:bookmarkEnd w:id="0" w:name="opdrachtformulering-voor-de-uit-te-voere"/>
    </w:p>
    <w:p>
      <w:bookmarkStart w:id="0" w:name="doel-van-het-testen"/>
      <w:pPr>
        <w:pStyle w:val="Kop2"/>
      </w:pPr>
      <w:r>
        <w:t>Doel van het testen</w:t>
      </w:r>
      <w:bookmarkEnd w:id="0" w:name="doel-van-het-testen"/>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bookmarkStart w:id="0" w:name="context"/>
      <w:pPr>
        <w:pStyle w:val="Kop2"/>
      </w:pPr>
      <w:r>
        <w:t>Context</w:t>
      </w:r>
      <w:bookmarkEnd w:id="0" w:name="context"/>
    </w:p>
    <w:p>
      <w:r>
        <w:rPr>
          <w:color w:val="000000"/>
          <w:highlight w:val="yellow"/>
        </w:rPr>
        <w:t xml:space="preserve">{Beschrijf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w:t>
      </w:r>
      <w:hyperlink r:id="rId24">
        <w:r>
          <w:rPr>
            <w:rStyle w:val="Hyperlink"/>
          </w:rPr>
          <w:t>bijlage A</w:t>
        </w:r>
      </w:hyperlink>
      <w:r>
        <w:rPr>
          <w:color w:val="000000"/>
          <w:highlight w:val="yellow"/>
        </w:rPr>
        <w:t>).}</w:t>
      </w:r>
    </w:p>
    <w:p>
      <w:r>
        <w:rPr>
          <w:color w:val="000000"/>
          <w:highlight w:val="yellow"/>
        </w:rPr>
        <w:t xml:space="preserve">{Maak gebruik van beschrijvingen in bestaande documenten (zie </w:t>
      </w:r>
      <w:hyperlink r:id="rId27">
        <w:r>
          <w:rPr>
            <w:rStyle w:val="Hyperlink"/>
          </w:rPr>
          <w:t>paragraaf 2.4</w:t>
        </w:r>
      </w:hyperlink>
      <w:r>
        <w:rPr>
          <w:color w:val="000000"/>
          <w:highlight w:val="yellow"/>
        </w:rPr>
        <w:t>).}</w:t>
      </w:r>
    </w:p>
    <w:p>
      <w:bookmarkStart w:id="0" w:name="scope-van-de-tests"/>
      <w:pPr>
        <w:pStyle w:val="Kop2"/>
      </w:pPr>
      <w:r>
        <w:t>Scope van de tests</w:t>
      </w:r>
      <w:bookmarkEnd w:id="0" w:name="scope-van-de-tests"/>
    </w:p>
    <w:p>
      <w:bookmarkStart w:id="0" w:name="binnen-scope"/>
      <w:pPr>
        <w:pStyle w:val="Kop3"/>
      </w:pPr>
      <w:r>
        <w:t>Binnen scope</w:t>
      </w:r>
      <w:bookmarkEnd w:id="0" w:name="binnen-scope"/>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 xml:space="preserve">Voor de combinaties van de onderdelen en de kwaliteitskenmerken worden in de productrisicoanalyse de risico’s bepaald (zie </w:t>
      </w:r>
      <w:hyperlink r:id="rId16">
        <w:r>
          <w:rPr>
            <w:rStyle w:val="Hyperlink"/>
          </w:rPr>
          <w:t>paragraaf 4.1</w:t>
        </w:r>
      </w:hyperlink>
      <w:r>
        <w:t>).</w:t>
      </w:r>
    </w:p>
    <w:p>
      <w:bookmarkStart w:id="0" w:name="buiten-scope"/>
      <w:pPr>
        <w:pStyle w:val="Kop3"/>
      </w:pPr>
      <w:r>
        <w:t>Buiten scope</w:t>
      </w:r>
      <w:bookmarkEnd w:id="0" w:name="buiten-scope"/>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bookmarkStart w:id="0" w:name="acceptanten"/>
      <w:pPr>
        <w:pStyle w:val="Kop2"/>
      </w:pPr>
      <w:r>
        <w:t>Acceptanten</w:t>
      </w:r>
      <w:bookmarkEnd w:id="0" w:name="acceptanten"/>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bookmarkStart w:id="0" w:name="productrisicoanalyse-en-teststrategie"/>
      <w:pPr>
        <w:pStyle w:val="Kop1"/>
      </w:pPr>
      <w:r>
        <w:t>Productrisicoanalyse en teststrategie</w:t>
      </w:r>
      <w:bookmarkEnd w:id="0" w:name="productrisicoanalyse-en-teststrategie"/>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bookmarkStart w:id="0" w:name="resultaat-productrisicoanalyse"/>
      <w:pPr>
        <w:pStyle w:val="Kop2"/>
      </w:pPr>
      <w:r>
        <w:t>Resultaat productrisicoanalyse</w:t>
      </w:r>
      <w:bookmarkEnd w:id="0" w:name="resultaat-productrisicoanalyse"/>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bookmarkStart w:id="0" w:name="teststrategie"/>
      <w:pPr>
        <w:pStyle w:val="Kop2"/>
      </w:pPr>
      <w:r>
        <w:t>Teststrategie</w:t>
      </w:r>
      <w:bookmarkEnd w:id="0" w:name="teststrategie"/>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bookmarkStart w:id="0" w:name="testsoorten-en-testvormen"/>
      <w:pPr>
        <w:pStyle w:val="Kop3"/>
      </w:pPr>
      <w:r>
        <w:t>Testsoorten en testvormen</w:t>
      </w:r>
      <w:bookmarkEnd w:id="0" w:name="testsoorten-en-testvormen"/>
    </w:p>
    <w:p>
      <w:r>
        <w:t xml:space="preserve">Onderstaande tabel bevat de te plannen testsoorten met hun definities. Ook zijn de onderkende testvormen genoemd; deze worden in </w:t>
      </w:r>
      <w:hyperlink r:id="rId19">
        <w:r>
          <w:rPr>
            <w:rStyle w:val="Hyperlink"/>
          </w:rPr>
          <w:t>het volgende hoofdstuk</w:t>
        </w:r>
      </w:hyperlink>
      <w:r>
        <w:t xml:space="preserve">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bookmarkStart w:id="0" w:name="strategie-voor-de-verschillende-testsoor"/>
      <w:pPr>
        <w:pStyle w:val="Kop3"/>
      </w:pPr>
      <w:r>
        <w:t>Strategie voor de verschillende testsoorten</w:t>
      </w:r>
      <w:bookmarkEnd w:id="0" w:name="strategie-voor-de-verschillende-testsoo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bookmarkStart w:id="0" w:name="functionele-geschiktheid"/>
      <w:pPr>
        <w:pStyle w:val="Kop5"/>
      </w:pPr>
      <w:r>
        <w:t>Functionele geschiktheid</w:t>
      </w:r>
      <w:bookmarkEnd w:id="0" w:name="functionele-geschikt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bookmarkStart w:id="0" w:name="prestatie-efficiëntie"/>
      <w:pPr>
        <w:pStyle w:val="Kop5"/>
      </w:pPr>
      <w:r>
        <w:t>Prestatie-efficiëntie</w:t>
      </w:r>
      <w:bookmarkEnd w:id="0" w:name="prestatie-efficiëntie"/>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bookmarkStart w:id="0" w:name="uitwisselbaarheid"/>
      <w:pPr>
        <w:pStyle w:val="Kop5"/>
      </w:pPr>
      <w:r>
        <w:t>Uitwisselbaarheid</w:t>
      </w:r>
      <w:bookmarkEnd w:id="0" w:name="uitwissel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bookmarkStart w:id="0" w:name="bruikbaarheid"/>
      <w:pPr>
        <w:pStyle w:val="Kop5"/>
      </w:pPr>
      <w:r>
        <w:t>Bruikbaarheid</w:t>
      </w:r>
      <w:bookmarkEnd w:id="0" w:name="bruik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bookmarkStart w:id="0" w:name="betrouwbaarheid"/>
      <w:pPr>
        <w:pStyle w:val="Kop5"/>
      </w:pPr>
      <w:r>
        <w:t>Betrouwbaarheid</w:t>
      </w:r>
      <w:bookmarkEnd w:id="0" w:name="betrouw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bookmarkStart w:id="0" w:name="beveiligbaarheid"/>
      <w:pPr>
        <w:pStyle w:val="Kop5"/>
      </w:pPr>
      <w:r>
        <w:t>Beveiligbaarheid</w:t>
      </w:r>
      <w:bookmarkEnd w:id="0" w:name="beveilig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bookmarkStart w:id="0" w:name="onderhoudbaarheid"/>
      <w:pPr>
        <w:pStyle w:val="Kop5"/>
      </w:pPr>
      <w:r>
        <w:t>Onderhoudbaarheid</w:t>
      </w:r>
      <w:bookmarkEnd w:id="0" w:name="onderhoud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bookmarkStart w:id="0" w:name="overdraagbaarheid"/>
      <w:pPr>
        <w:pStyle w:val="Kop5"/>
      </w:pPr>
      <w:r>
        <w:t>Overdraagbaarheid</w:t>
      </w:r>
      <w:bookmarkEnd w:id="0" w:name="overdraag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bookmarkStart w:id="0" w:name="testaanpak"/>
      <w:pPr>
        <w:pStyle w:val="Kop1"/>
      </w:pPr>
      <w:r>
        <w:t>Testaanpak</w:t>
      </w:r>
      <w:bookmarkEnd w:id="0" w:name="testaanpak"/>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bookmarkStart w:id="0" w:name="aansluiting-op-de-agile-werkwijze"/>
      <w:pPr>
        <w:pStyle w:val="Kop2"/>
      </w:pPr>
      <w:r>
        <w:t>Aansluiting op de agile werkwijze</w:t>
      </w:r>
      <w:bookmarkEnd w:id="0" w:name="aansluiting-op-de-agile-werkwijze"/>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28"/>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bookmarkStart w:id="0" w:name="aanpak-van-de-toetsen"/>
      <w:pPr>
        <w:pStyle w:val="Kop2"/>
      </w:pPr>
      <w:r>
        <w:t>Aanpak van de toetsen</w:t>
      </w:r>
      <w:bookmarkEnd w:id="0" w:name="aanpak-van-de-toetsen"/>
    </w:p>
    <w:p>
      <w:r>
        <w:rPr>
          <w:color w:val="000000"/>
          <w:highlight w:val="yellow"/>
        </w:rPr>
        <w:t>{Indien toetsen onderdeel zijn van de teststrategie, beschrijf dan hier de aanpak van deze toetsen of: “Toetsen zijn geen onderdeel van de teststrategie”.}</w:t>
      </w:r>
      <w:r>
        <w:t>.</w:t>
      </w:r>
    </w:p>
    <w:p>
      <w:bookmarkStart w:id="0" w:name="aanpak-van-de-testsoorten"/>
      <w:pPr>
        <w:pStyle w:val="Kop2"/>
      </w:pPr>
      <w:r>
        <w:t>Aanpak van de testsoorten</w:t>
      </w:r>
      <w:bookmarkEnd w:id="0" w:name="aanpak-van-de-testsoorten"/>
    </w:p>
    <w:p>
      <w:r>
        <w:rPr>
          <w:color w:val="000000"/>
          <w:highlight w:val="yellow"/>
        </w:rPr>
        <w:t>{In deze template is de Systeemtest als voorbeeld genomen. Deze paragraaf wordt herhaald voor iedere toe te passen testsoort.}</w:t>
      </w:r>
    </w:p>
    <w:p>
      <w:bookmarkStart w:id="0" w:name="aanpak-systeemtest"/>
      <w:pPr>
        <w:pStyle w:val="Kop3"/>
      </w:pPr>
      <w:r>
        <w:t>Aanpak systeemtest</w:t>
      </w:r>
      <w:bookmarkEnd w:id="0" w:name="aanpak-systeemtest"/>
    </w:p>
    <w:p>
      <w:r>
        <w:rPr>
          <w:color w:val="000000"/>
          <w:highlight w:val="yellow"/>
        </w:rPr>
        <w:t>{Als er voor een testsoort een detailtestplan wordt opgesteld, geef dan hier alleen een korte beschrijving van de testsoort en verwijs naar het detailtestplan.}</w:t>
      </w:r>
    </w:p>
    <w:p>
      <w:bookmarkStart w:id="0" w:name="beschrijving-systeemtest-algemeen"/>
      <w:pPr>
        <w:pStyle w:val="Kop5"/>
      </w:pPr>
      <w:r>
        <w:t>Beschrijving systeemtest algemeen</w:t>
      </w:r>
      <w:bookmarkEnd w:id="0" w:name="beschrijving-systeemtest-algemeen"/>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bookmarkStart w:id="0" w:name="testvorm-functionele-test"/>
      <w:pPr>
        <w:pStyle w:val="Kop5"/>
      </w:pPr>
      <w:r>
        <w:t>Testvorm functionele test</w:t>
      </w:r>
      <w:bookmarkEnd w:id="0" w:name="testvorm-functionele-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bookmarkStart w:id="0" w:name="testvorm-securitytest"/>
      <w:pPr>
        <w:pStyle w:val="Kop5"/>
      </w:pPr>
      <w:r>
        <w:t>Testvorm securitytest</w:t>
      </w:r>
      <w:bookmarkEnd w:id="0" w:name="testvorm-security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testvorm-volledigheidstest"/>
      <w:pPr>
        <w:pStyle w:val="Kop5"/>
      </w:pPr>
      <w:r>
        <w:t>Testvorm volledigheidstest</w:t>
      </w:r>
      <w:bookmarkEnd w:id="0" w:name="testvorm-volledigheids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testvorm-regressietest"/>
      <w:pPr>
        <w:pStyle w:val="Kop5"/>
      </w:pPr>
      <w:r>
        <w:t>Testvorm regressietest</w:t>
      </w:r>
      <w:bookmarkEnd w:id="0" w:name="testvorm-regressie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aanpak-testsoort"/>
      <w:pPr>
        <w:pStyle w:val="Kop3"/>
      </w:pPr>
      <w:r>
        <w:t xml:space="preserve">Aanpak </w:t>
      </w:r>
      <w:r>
        <w:rPr>
          <w:color w:val="000000"/>
          <w:highlight w:val="yellow"/>
        </w:rPr>
        <w:t>{testsoort}</w:t>
      </w:r>
      <w:bookmarkEnd w:id="0" w:name="aanpak-testsoort"/>
    </w:p>
    <w:p>
      <w:r>
        <w:rPr>
          <w:color w:val="000000"/>
          <w:highlight w:val="yellow"/>
        </w:rPr>
        <w:t>{Gebruik de vorige paragraaf als template en vul deze in voor de andere testsoorten.}</w:t>
      </w:r>
    </w:p>
    <w:p>
      <w:bookmarkStart w:id="0" w:name="op-te-leveren-producten"/>
      <w:pPr>
        <w:pStyle w:val="Kop2"/>
      </w:pPr>
      <w:r>
        <w:t>Op te leveren producten</w:t>
      </w:r>
      <w:bookmarkEnd w:id="0" w:name="op-te-leveren-producten"/>
    </w:p>
    <w:p>
      <w:r>
        <w:t>De volgende producten worden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bookmarkStart w:id="0" w:name="go-no-go-voor-vervolg"/>
      <w:pPr>
        <w:pStyle w:val="Kop2"/>
      </w:pPr>
      <w:r>
        <w:t>Go / No go voor vervolg</w:t>
      </w:r>
      <w:bookmarkEnd w:id="0" w:name="go-no-go-voor-vervolg"/>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bookmarkStart w:id="0" w:name="organisatie"/>
      <w:pPr>
        <w:pStyle w:val="Kop1"/>
      </w:pPr>
      <w:r>
        <w:t>Organisatie</w:t>
      </w:r>
      <w:bookmarkEnd w:id="0" w:name="organisatie"/>
    </w:p>
    <w:p>
      <w:bookmarkStart w:id="0" w:name="organisatiestructuur"/>
      <w:pPr>
        <w:pStyle w:val="Kop2"/>
      </w:pPr>
      <w:r>
        <w:t>Organisatiestructuur</w:t>
      </w:r>
      <w:bookmarkEnd w:id="0" w:name="organisatiestructuur"/>
    </w:p>
    <w:p>
      <w:r>
        <w:rPr>
          <w:color w:val="000000"/>
          <w:highlight w:val="yellow"/>
        </w:rPr>
        <w:t>{Neem hier het organogram van de testorganisatie op en de relatie tot de projectorganisatie.}</w:t>
      </w:r>
    </w:p>
    <w:p>
      <w:bookmarkStart w:id="0" w:name="rollen-taken-en-verantwoordelijkheden"/>
      <w:pPr>
        <w:pStyle w:val="Kop2"/>
      </w:pPr>
      <w:r>
        <w:t>Rollen, taken en verantwoordelijkheden</w:t>
      </w:r>
      <w:bookmarkEnd w:id="0" w:name="rollen-taken-en-verantwoordelijkheden"/>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bookmarkStart w:id="0" w:name="opleidings-en-coachingsbehoefte"/>
      <w:pPr>
        <w:pStyle w:val="Kop2"/>
      </w:pPr>
      <w:r>
        <w:t>Opleidings- en coachingsbehoefte</w:t>
      </w:r>
      <w:bookmarkEnd w:id="0" w:name="opleidings-en-coachingsbehoefte"/>
    </w:p>
    <w:p>
      <w:r>
        <w:rPr>
          <w:color w:val="000000"/>
          <w:highlight w:val="yellow"/>
        </w:rPr>
        <w:t>{Vermeld hier de opleidings- en coachingsbehoefte van de testmedewerkers ten behoeve van de juiste materie- en/of testkennis.}</w:t>
      </w:r>
    </w:p>
    <w:p>
      <w:bookmarkStart w:id="0" w:name="overlegstructuur"/>
      <w:pPr>
        <w:pStyle w:val="Kop2"/>
      </w:pPr>
      <w:r>
        <w:t>Overlegstructuur</w:t>
      </w:r>
      <w:bookmarkEnd w:id="0" w:name="overlegstructuu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bookmarkStart w:id="0" w:name="testinfrastructuur"/>
      <w:pPr>
        <w:pStyle w:val="Kop1"/>
      </w:pPr>
      <w:r>
        <w:t>Testinfrastructuur</w:t>
      </w:r>
      <w:bookmarkEnd w:id="0" w:name="testinfrastructuu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bookmarkStart w:id="0" w:name="testomgevingen"/>
      <w:pPr>
        <w:pStyle w:val="Kop2"/>
      </w:pPr>
      <w:r>
        <w:t>Testomgevingen</w:t>
      </w:r>
      <w:bookmarkEnd w:id="0" w:name="testomgevingen"/>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Testdata</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bookmarkStart w:id="0" w:name="testtools"/>
      <w:pPr>
        <w:pStyle w:val="Kop2"/>
      </w:pPr>
      <w:r>
        <w:t>Testtools</w:t>
      </w:r>
      <w:bookmarkEnd w:id="0" w:name="testtools"/>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bookmarkStart w:id="0" w:name="beheer"/>
      <w:pPr>
        <w:pStyle w:val="Kop1"/>
      </w:pPr>
      <w:r>
        <w:t>Beheer</w:t>
      </w:r>
      <w:bookmarkEnd w:id="0" w:name="beheer"/>
    </w:p>
    <w:p>
      <w:r>
        <w:t>In dit hoofdstuk wordt beschreven hoe de activiteiten uit het testplan worden uitgevoerd, bewaakt en eventueel bijgestuurd.</w:t>
      </w:r>
    </w:p>
    <w:p>
      <w:bookmarkStart w:id="0" w:name="testproductbeheer"/>
      <w:pPr>
        <w:pStyle w:val="Kop2"/>
      </w:pPr>
      <w:r>
        <w:t>Testproductbeheer</w:t>
      </w:r>
      <w:bookmarkEnd w:id="0" w:name="testproductbeheer"/>
    </w:p>
    <w:p>
      <w:r>
        <w:rPr>
          <w:color w:val="000000"/>
          <w:highlight w:val="yellow"/>
        </w:rPr>
        <w:t>{Beschrijf hier hoe de op te leveren producten worden beheerd en bewaakt. Beschrijf hiervoor procedures, sjablonen, tools en de omgeving waar de producten worden vastgelegd.}</w:t>
      </w:r>
    </w:p>
    <w:p>
      <w:bookmarkStart w:id="0" w:name="bevindingenprocedures"/>
      <w:pPr>
        <w:pStyle w:val="Kop2"/>
      </w:pPr>
      <w:r>
        <w:t>Bevindingenprocedures</w:t>
      </w:r>
      <w:bookmarkEnd w:id="0" w:name="bevindingenprocedures"/>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bookmarkStart w:id="0" w:name="testprocesrisico-s-en-maatregelen"/>
      <w:pPr>
        <w:pStyle w:val="Kop1"/>
      </w:pPr>
      <w:r>
        <w:t>Testprocesrisico's en maatregelen</w:t>
      </w:r>
      <w:bookmarkEnd w:id="0" w:name="testprocesrisico-s-en-maatregelen"/>
    </w:p>
    <w:p>
      <w:r>
        <w:t xml:space="preserve">In dit hoofdstuk zijn de belangrijkste potentiële projectrisico's voor het testproces van </w:t>
      </w:r>
      <w:r>
        <w:rPr>
          <w:color w:val="000000"/>
          <w:highlight w:val="yellow"/>
        </w:rPr>
        <w:t>{het 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bookmarkStart w:id="0" w:name="globale-planning"/>
      <w:pPr>
        <w:pStyle w:val="Kop1"/>
      </w:pPr>
      <w:r>
        <w:t>Globale planning</w:t>
      </w:r>
      <w:bookmarkEnd w:id="0" w:name="globale-planning"/>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9">
              <w:r>
                <w:rPr>
                  <w:rStyle w:val="Hyperlink"/>
                </w:rPr>
                <w:t>BIO</w:t>
              </w:r>
            </w:hyperlink>
          </w:p>
        </w:tc>
        <w:tc>
          <w:tcPr>
            <w:tcW w:type="auto" w:w="4535"/>
          </w:tcPr>
          <w:p>
            <w:pPr>
              <w:jc w:val="left"/>
            </w:pPr>
            <w:r>
              <w:t>Baseline Informatiebeveiliging Overheid.</w:t>
            </w:r>
          </w:p>
        </w:tc>
      </w:tr>
      <w:tr>
        <w:tc>
          <w:tcPr>
            <w:tcW w:type="auto" w:w="4535"/>
          </w:tcPr>
          <w:p>
            <w:pPr>
              <w:jc w:val="left"/>
            </w:pPr>
            <w:hyperlink r:id="rId3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1">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2">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3">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4">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5">
              <w:r>
                <w:rPr>
                  <w:rStyle w:val="Hyperlink"/>
                </w:rPr>
                <w:t>NEN 7510-2:2024</w:t>
              </w:r>
            </w:hyperlink>
          </w:p>
        </w:tc>
        <w:tc>
          <w:tcPr>
            <w:tcW w:type="auto" w:w="4535"/>
          </w:tcPr>
          <w:p>
            <w:pPr>
              <w:jc w:val="left"/>
            </w:pPr>
          </w:p>
        </w:tc>
      </w:tr>
      <w:tr>
        <w:tc>
          <w:tcPr>
            <w:tcW w:type="auto" w:w="4535"/>
          </w:tcPr>
          <w:p>
            <w:pPr>
              <w:jc w:val="left"/>
            </w:pPr>
            <w:hyperlink r:id="rId36">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7">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8">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9">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0">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1">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2">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3">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testomgevingen" TargetMode="External"/><Relationship Id="rId15" Type="http://schemas.openxmlformats.org/officeDocument/2006/relationships/hyperlink" Target="#testinfrastructuur" TargetMode="External"/><Relationship Id="rId16" Type="http://schemas.openxmlformats.org/officeDocument/2006/relationships/hyperlink" Target="#resultaat-productrisicoanalyse" TargetMode="External"/><Relationship Id="rId17" Type="http://schemas.openxmlformats.org/officeDocument/2006/relationships/hyperlink" Target="#opdrachtformulering-voor-de-uit-te-voere" TargetMode="External"/><Relationship Id="rId18" Type="http://schemas.openxmlformats.org/officeDocument/2006/relationships/hyperlink" Target="#productrisicoanalyse-en-teststrategie" TargetMode="External"/><Relationship Id="rId19" Type="http://schemas.openxmlformats.org/officeDocument/2006/relationships/hyperlink" Target="#testaanpak" TargetMode="External"/><Relationship Id="rId20" Type="http://schemas.openxmlformats.org/officeDocument/2006/relationships/hyperlink" Target="#organisatie" TargetMode="External"/><Relationship Id="rId21" Type="http://schemas.openxmlformats.org/officeDocument/2006/relationships/hyperlink" Target="#beheer" TargetMode="External"/><Relationship Id="rId22" Type="http://schemas.openxmlformats.org/officeDocument/2006/relationships/hyperlink" Target="#testprocesrisico-s-en-maatregelen" TargetMode="External"/><Relationship Id="rId23" Type="http://schemas.openxmlformats.org/officeDocument/2006/relationships/hyperlink" Target="#globale-planning" TargetMode="External"/><Relationship Id="rId24" Type="http://schemas.openxmlformats.org/officeDocument/2006/relationships/hyperlink" Target="#terminologie-en-afkortingen" TargetMode="External"/><Relationship Id="rId25" Type="http://schemas.openxmlformats.org/officeDocument/2006/relationships/hyperlink" Target="#bronnen" TargetMode="External"/><Relationship Id="rId26" Type="http://schemas.openxmlformats.org/officeDocument/2006/relationships/hyperlink" Target="#de-ictu-kwaliteitsaanpak-softwareontwikk" TargetMode="External"/><Relationship Id="rId27" Type="http://schemas.openxmlformats.org/officeDocument/2006/relationships/hyperlink" Target="#relatie-met-andere-documenten" TargetMode="External"/><Relationship Id="rId28" Type="http://schemas.openxmlformats.org/officeDocument/2006/relationships/image" Target="media/image1.png"/><Relationship Id="rId29" Type="http://schemas.openxmlformats.org/officeDocument/2006/relationships/hyperlink" Target="https://www.bio-overheid.nl/media/dr4inbhc/20260109-baseline-informatiebeveiliging-overheid-2-bio2-v13-def.pdf" TargetMode="External"/><Relationship Id="rId30" Type="http://schemas.openxmlformats.org/officeDocument/2006/relationships/hyperlink" Target="https://www.iso.org/standard/77520.html" TargetMode="External"/><Relationship Id="rId31" Type="http://schemas.openxmlformats.org/officeDocument/2006/relationships/hyperlink" Target="https://www.ncsc.nl/documenten/publicaties/2019/mei/01/ict-beveiligingsrichtlijnen-voor-webapplicaties" TargetMode="External"/><Relationship Id="rId32" Type="http://schemas.openxmlformats.org/officeDocument/2006/relationships/hyperlink" Target="https://www.nen.nl/nen-iso-iec-25010-2023-en-318088" TargetMode="External"/><Relationship Id="rId33" Type="http://schemas.openxmlformats.org/officeDocument/2006/relationships/hyperlink" Target="https://www.nen.nl/nen-en-iso-iec-27001-2023-nl-314206" TargetMode="External"/><Relationship Id="rId34" Type="http://schemas.openxmlformats.org/officeDocument/2006/relationships/hyperlink" Target="https://www.nen.nl/nen-en-iso-iec-27002-2022-nl-304509" TargetMode="External"/><Relationship Id="rId35" Type="http://schemas.openxmlformats.org/officeDocument/2006/relationships/hyperlink" Target="https://www.nen.nl/nen-7510-2-2024-nl-331314" TargetMode="External"/><Relationship Id="rId36" Type="http://schemas.openxmlformats.org/officeDocument/2006/relationships/hyperlink" Target="https://www.nen.nl/npr-5325-2017-nl-238298" TargetMode="External"/><Relationship Id="rId37" Type="http://schemas.openxmlformats.org/officeDocument/2006/relationships/hyperlink" Target="https://www.nen.nl/npr-5326-2019-nl-262885" TargetMode="External"/><Relationship Id="rId38" Type="http://schemas.openxmlformats.org/officeDocument/2006/relationships/hyperlink" Target="https://www.noraonline.nl" TargetMode="External"/><Relationship Id="rId39" Type="http://schemas.openxmlformats.org/officeDocument/2006/relationships/hyperlink" Target="https://owasp.org/www-project-top-ten/" TargetMode="External"/><Relationship Id="rId40" Type="http://schemas.openxmlformats.org/officeDocument/2006/relationships/hyperlink" Target="https://scrumguides.org/docs/scrumguide/v2020/2020-Scrum-Guide-Dutch.pdf" TargetMode="External"/><Relationship Id="rId41" Type="http://schemas.openxmlformats.org/officeDocument/2006/relationships/hyperlink" Target="https://wetten.overheid.nl/BWBR0022141/2007-07-01" TargetMode="External"/><Relationship Id="rId42" Type="http://schemas.openxmlformats.org/officeDocument/2006/relationships/hyperlink" Target="https://wetten.overheid.nl/BWBR0051482/2025-09-09/" TargetMode="External"/><Relationship Id="rId43" Type="http://schemas.openxmlformats.org/officeDocument/2006/relationships/hyperlink" Target="https://wetten.overheid.nl/BWBR0041515/2024-10-01/" TargetMode="External"/><Relationship Id="rId44" Type="http://schemas.openxmlformats.org/officeDocument/2006/relationships/hyperlink" Target="https://www.tweedekamer.nl/sites/default/files/field_uploads/33326-5-Eindrapport_tcm181-239826.pdf" TargetMode="External"/><Relationship Id="rId45" Type="http://schemas.openxmlformats.org/officeDocument/2006/relationships/hyperlink" Target="https://www.ictu.nl/kwaliteitsaanpak" TargetMode="External"/><Relationship Id="rId46" Type="http://schemas.openxmlformats.org/officeDocument/2006/relationships/hyperlink" Target="https://ictu.github.io/Kwaliteitsaanpak/wip/ICTU-Kwaliteitsaanpak-Wijzigingsgeschiedenis.html" TargetMode="External"/><Relationship Id="rId47" Type="http://schemas.openxmlformats.org/officeDocument/2006/relationships/hyperlink" Target="#m26"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