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rPr>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highlight w:val="yellow"/>
        </w:rPr>
        <w:t>{opdrachtgevende organisatie}</w:t>
      </w:r>
      <w:r>
        <w:t xml:space="preserve"> gestelde kaders productierijpe software op te leveren </w:t>
      </w:r>
      <w:r>
        <w:rPr>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backlog is voorzien bij de start.</w:t>
      </w:r>
    </w:p>
    <w:p>
      <w:r>
        <w:t xml:space="preserve">Om tot </w:t>
      </w:r>
      <w:r>
        <w:rPr>
          <w:highlight w:val="yellow"/>
        </w:rPr>
        <w:t>{projectresultaat}</w:t>
      </w:r>
      <w:r>
        <w:t xml:space="preserve"> te komen, ontwikkelt ICTU in samenwerking met </w:t>
      </w:r>
      <w:r>
        <w:rPr>
          <w:highlight w:val="yellow"/>
        </w:rPr>
        <w:t>{partijen}</w:t>
      </w:r>
      <w:r>
        <w:t xml:space="preserve"> </w:t>
      </w:r>
      <w:r>
        <w:rPr>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highlight w:val="yellow"/>
        </w:rPr>
        <w:t>{titel, versie en datum}</w:t>
      </w:r>
      <w:r>
        <w:t>.</w:t>
      </w:r>
    </w:p>
    <w:p>
      <w:pPr>
        <w:pStyle w:val="Kop2"/>
      </w:pPr>
      <w:r>
        <w:t>Doelgroep</w:t>
      </w:r>
    </w:p>
    <w:p>
      <w:r>
        <w:t xml:space="preserve">Dit plan van aanpak is in eerste instantie bestemd voor de opdrachtgever van </w:t>
      </w:r>
      <w:r>
        <w:rPr>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highlight w:val="yellow"/>
        </w:rPr>
        <w:t>{partijen}</w:t>
      </w:r>
      <w:r>
        <w:t xml:space="preserve">, waarbij ICTU zo goed mogelijk gebruik maakt van de bij deze partijen aanwezige kennis en producten. Dit vraagt, naast de inspanning van ICTU, ook significante inzet van medewerkers van </w:t>
      </w:r>
      <w:r>
        <w:rPr>
          <w:highlight w:val="yellow"/>
        </w:rPr>
        <w:t>{partijen}</w:t>
      </w:r>
      <w:r>
        <w:t>; zie hiervoor het hoofdstuk "Werkwijze".</w:t>
      </w:r>
    </w:p>
    <w:p>
      <w:r>
        <w:rPr>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Kaders</w:t>
      </w:r>
    </w:p>
    <w:p>
      <w:r>
        <w:t xml:space="preserve">De volgende kaders zijn van toepassing op het realisatieproces van het project. Kaders die van toepassing zijn op het te realiseren </w:t>
      </w:r>
      <w:r>
        <w:rPr>
          <w:i/>
        </w:rPr>
        <w:t>product</w:t>
      </w:r>
      <w:r>
        <w:t xml:space="preserve"> zijn opgenomen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highlight w:val="yellow"/>
              </w:rPr>
              <w:t>{opdrachtgevende organisatie}</w:t>
            </w:r>
            <w:r>
              <w:t>.</w:t>
            </w:r>
          </w:p>
        </w:tc>
      </w:tr>
      <w:tr>
        <w:tc>
          <w:tcPr>
            <w:tcW w:type="auto" w:w="4535"/>
          </w:tcPr>
          <w:p>
            <w:pPr>
              <w:jc w:val="left"/>
            </w:pPr>
            <w:r>
              <w:t>U02</w:t>
            </w:r>
          </w:p>
        </w:tc>
        <w:tc>
          <w:tcPr>
            <w:tcW w:type="auto" w:w="4535"/>
          </w:tcPr>
          <w:p>
            <w:pPr>
              <w:jc w:val="left"/>
            </w:pPr>
            <w:r>
              <w:rPr>
                <w:highlight w:val="yellow"/>
              </w:rPr>
              <w:t>{opdrachtgevende organisatie}</w:t>
            </w:r>
            <w:r>
              <w:t xml:space="preserve"> is verantwoordelijk voor het betrekken van </w:t>
            </w:r>
            <w:r>
              <w:rPr>
                <w:highlight w:val="yellow"/>
              </w:rPr>
              <w:t>{partijen}</w:t>
            </w:r>
            <w:r>
              <w:t xml:space="preserve"> en het tijdig opleveren van reviews.</w:t>
            </w:r>
          </w:p>
        </w:tc>
      </w:tr>
      <w:tr>
        <w:tc>
          <w:tcPr>
            <w:tcW w:type="auto" w:w="4535"/>
          </w:tcPr>
          <w:p>
            <w:pPr>
              <w:jc w:val="left"/>
            </w:pPr>
            <w:r>
              <w:t>U03</w:t>
            </w:r>
          </w:p>
        </w:tc>
        <w:tc>
          <w:tcPr>
            <w:tcW w:type="auto" w:w="4535"/>
          </w:tcPr>
          <w:p>
            <w:pPr>
              <w:jc w:val="left"/>
            </w:pPr>
            <w:r>
              <w:rPr>
                <w:highlight w:val="yellow"/>
              </w:rPr>
              <w:t>{opdrachtgevende organisatie}</w:t>
            </w:r>
            <w:r>
              <w:t xml:space="preserve"> is verantwoordelijk voor het aanstellen van een product owner met voldoende tijd en mandaat.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 xml:space="preserve">De realisatiefase is een vervolg op de voorfase van </w:t>
      </w:r>
      <w:r>
        <w:rPr>
          <w:highlight w:val="yellow"/>
        </w:rPr>
        <w:t>{het project}</w:t>
      </w:r>
      <w:r>
        <w:t>. De documenten die in die voorfase zijn gerealiseerd en die uitgangspunt zijn voor dit plan van aanpak zijn:</w:t>
      </w:r>
    </w:p>
    <w:p>
      <w:pPr>
        <w:pStyle w:val="Lijstopsomteken1"/>
        <w:numPr>
          <w:ilvl w:val="0"/>
        </w:numPr>
      </w:pPr>
      <w:r>
        <w:t xml:space="preserve">Projectstartarchitectuur (PSA), versie </w:t>
      </w:r>
      <w:r>
        <w:rPr>
          <w:highlight w:val="yellow"/>
        </w:rPr>
        <w:t>{versie}</w:t>
      </w:r>
      <w:r>
        <w:t>,</w:t>
      </w:r>
    </w:p>
    <w:p>
      <w:pPr>
        <w:pStyle w:val="Lijstopsomteken1"/>
        <w:numPr>
          <w:ilvl w:val="0"/>
        </w:numPr>
      </w:pPr>
      <w:r>
        <w:t xml:space="preserve">Business impact analysis (BIA), versie </w:t>
      </w:r>
      <w:r>
        <w:rPr>
          <w:highlight w:val="yellow"/>
        </w:rPr>
        <w:t>{versie}</w:t>
      </w:r>
      <w:r>
        <w:t>,</w:t>
      </w:r>
    </w:p>
    <w:p>
      <w:pPr>
        <w:pStyle w:val="Lijstopsomteken1"/>
        <w:numPr>
          <w:ilvl w:val="0"/>
        </w:numPr>
      </w:pPr>
      <w:r>
        <w:t xml:space="preserve">Privacy impact assessment (PIA), versie </w:t>
      </w:r>
      <w:r>
        <w:rPr>
          <w:highlight w:val="yellow"/>
        </w:rPr>
        <w:t>{versie}</w:t>
      </w:r>
      <w:r>
        <w:t>,</w:t>
      </w:r>
    </w:p>
    <w:p>
      <w:pPr>
        <w:pStyle w:val="Lijstopsomteken1"/>
        <w:numPr>
          <w:ilvl w:val="0"/>
        </w:numPr>
      </w:pPr>
      <w:r>
        <w:t xml:space="preserve">Softwarearchitectuurdocument (SAD), versie </w:t>
      </w:r>
      <w:r>
        <w:rPr>
          <w:highlight w:val="yellow"/>
        </w:rPr>
        <w:t>{versie}</w:t>
      </w:r>
      <w:r>
        <w:t>,</w:t>
      </w:r>
    </w:p>
    <w:p>
      <w:pPr>
        <w:pStyle w:val="Lijstopsomteken1"/>
        <w:numPr>
          <w:ilvl w:val="0"/>
        </w:numPr>
      </w:pPr>
      <w:r>
        <w:t xml:space="preserve">Infrastructuurarchitectuur (IA), versie </w:t>
      </w:r>
      <w:r>
        <w:rPr>
          <w:highlight w:val="yellow"/>
        </w:rPr>
        <w:t>{versie}</w:t>
      </w:r>
      <w:r>
        <w:t>,</w:t>
      </w:r>
    </w:p>
    <w:p>
      <w:pPr>
        <w:pStyle w:val="Lijstopsomteken1"/>
        <w:numPr>
          <w:ilvl w:val="0"/>
        </w:numPr>
      </w:pPr>
      <w:r>
        <w:t xml:space="preserve">Mastertestplan, versie </w:t>
      </w:r>
      <w:r>
        <w:rPr>
          <w:highlight w:val="yellow"/>
        </w:rPr>
        <w:t>{versie}</w:t>
      </w:r>
      <w:r>
        <w:t>,</w:t>
      </w:r>
    </w:p>
    <w:p>
      <w:pPr>
        <w:pStyle w:val="Lijstopsomteken1"/>
        <w:numPr>
          <w:ilvl w:val="0"/>
        </w:numPr>
      </w:pPr>
      <w:r>
        <w:t xml:space="preserve">Detailtestplan softwarerealisatie, versie </w:t>
      </w:r>
      <w:r>
        <w:rPr>
          <w:highlight w:val="yellow"/>
        </w:rPr>
        <w:t>{versie}</w:t>
      </w:r>
      <w:r>
        <w:t>,</w:t>
      </w:r>
    </w:p>
    <w:p>
      <w:pPr>
        <w:pStyle w:val="Lijstopsomteken1"/>
        <w:numPr>
          <w:ilvl w:val="0"/>
        </w:numPr>
      </w:pPr>
      <w:r>
        <w:t xml:space="preserve">Informatiebeveiligingsplan (IB-plan), versie </w:t>
      </w:r>
      <w:r>
        <w:rPr>
          <w:highlight w:val="yellow"/>
        </w:rPr>
        <w:t>{versie}</w:t>
      </w:r>
      <w:r>
        <w:t>,</w:t>
      </w:r>
    </w:p>
    <w:p>
      <w:pPr>
        <w:pStyle w:val="Lijstopsomteken1"/>
        <w:numPr>
          <w:ilvl w:val="0"/>
        </w:numPr>
      </w:pPr>
      <w:r>
        <w:t xml:space="preserve">Kwaliteitsplan, versie </w:t>
      </w:r>
      <w:r>
        <w:rPr>
          <w:highlight w:val="yellow"/>
        </w:rPr>
        <w:t>{versie}</w:t>
      </w:r>
      <w:r>
        <w:t>,</w:t>
      </w:r>
    </w:p>
    <w:p>
      <w:pPr>
        <w:pStyle w:val="Lijstopsomteken1"/>
        <w:numPr>
          <w:ilvl w:val="0"/>
        </w:numPr>
      </w:pPr>
      <w:r>
        <w:t xml:space="preserve">Niet-functionele eisen (NFE), versie </w:t>
      </w:r>
      <w:r>
        <w:rPr>
          <w:highlight w:val="yellow"/>
        </w:rPr>
        <w:t>{versie}</w:t>
      </w:r>
      <w:r>
        <w:t>,</w:t>
      </w:r>
    </w:p>
    <w:p>
      <w:pPr>
        <w:pStyle w:val="Lijstopsomteken1"/>
        <w:numPr>
          <w:ilvl w:val="0"/>
        </w:numPr>
      </w:pPr>
      <w:r>
        <w:t xml:space="preserve">Globaal functioneel ontwerp (GFO), versie </w:t>
      </w:r>
      <w:r>
        <w:rPr>
          <w:highlight w:val="yellow"/>
        </w:rPr>
        <w:t>{versie}</w:t>
      </w:r>
      <w:r>
        <w:t>,</w:t>
      </w:r>
    </w:p>
    <w:p>
      <w:pPr>
        <w:pStyle w:val="Lijstopsomteken1"/>
        <w:numPr>
          <w:ilvl w:val="0"/>
        </w:numPr>
      </w:pPr>
      <w:r>
        <w:t xml:space="preserve">Interactie-ontwerp (UX), versie </w:t>
      </w:r>
      <w:r>
        <w:rPr>
          <w:highlight w:val="yellow"/>
        </w:rPr>
        <w:t>{versie}</w:t>
      </w:r>
      <w:r>
        <w:t>,</w:t>
      </w:r>
    </w:p>
    <w:p>
      <w:pPr>
        <w:pStyle w:val="Lijstopsomteken1"/>
        <w:numPr>
          <w:ilvl w:val="0"/>
        </w:numPr>
      </w:pPr>
      <w:r>
        <w:t xml:space="preserve">Geprioriteerde backlog met user stories, versie </w:t>
      </w:r>
      <w:r>
        <w:rPr>
          <w:highlight w:val="yellow"/>
        </w:rPr>
        <w:t>{versie}</w:t>
      </w:r>
      <w:r>
        <w:t>,</w:t>
      </w:r>
    </w:p>
    <w:p>
      <w:pPr>
        <w:pStyle w:val="Lijstopsomteken1"/>
        <w:numPr>
          <w:ilvl w:val="0"/>
        </w:numPr>
      </w:pPr>
      <w:r>
        <w:t xml:space="preserve">Vastgesteld minimal viable product, versie </w:t>
      </w:r>
      <w:r>
        <w:rPr>
          <w:highlight w:val="yellow"/>
        </w:rPr>
        <w:t>{versie}</w:t>
      </w:r>
      <w:r>
        <w:t>,</w:t>
      </w:r>
    </w:p>
    <w:p>
      <w:pPr>
        <w:pStyle w:val="Lijstopsomteken1"/>
        <w:numPr>
          <w:ilvl w:val="0"/>
        </w:numPr>
      </w:pPr>
      <w:r>
        <w:t xml:space="preserve">Wireframe, mockup, prototype, animatie, versie </w:t>
      </w:r>
      <w:r>
        <w:rPr>
          <w:highlight w:val="yellow"/>
        </w:rPr>
        <w:t>{versie}</w:t>
      </w:r>
      <w:r>
        <w:t>,</w:t>
      </w:r>
    </w:p>
    <w:p>
      <w:pPr>
        <w:pStyle w:val="Lijstopsomteken1"/>
        <w:numPr>
          <w:ilvl w:val="0"/>
        </w:numPr>
      </w:pPr>
      <w:r>
        <w:t xml:space="preserve">Tussentijdse rapportage t.b.v. go/no-go besluit, versie </w:t>
      </w:r>
      <w:r>
        <w:rPr>
          <w:highlight w:val="yellow"/>
        </w:rPr>
        <w:t>{versie}</w:t>
      </w:r>
      <w:r>
        <w:t>.</w:t>
      </w:r>
    </w:p>
    <w:p>
      <w:r>
        <w:rPr>
          <w:highlight w:val="yellow"/>
        </w:rPr>
        <w:t>{Beschrijf ook een eventuele relatie met andere documenten die niet afkomstig zijn uit de voorfase}</w:t>
      </w:r>
    </w:p>
    <w:p>
      <w:pPr>
        <w:pStyle w:val="Kop2"/>
      </w:pPr>
      <w:r>
        <w:t>Leeswijzer</w:t>
      </w:r>
    </w:p>
    <w:p>
      <w:r>
        <w:t xml:space="preserve">Hoofdstuk 2 beschrijft de in de realisatiefase op te leveren producten. In hoofdstuk 3 staat de werkwijze voor de realisatie van de software. Hoofdstuk 4 beschrijft de planning en doorlooptijd van het project. Hoofdstuk 5 geeft de randvoorwaarden die ingevuld dienen te zijn bij de start van realisatiefase. Hoofdstuk 6 beschrijft de bekende projectrisico's en de getroffen tegenmaatregelen. Hoofdstuk 7 bevat de verwachte inzet door ICTU. </w:t>
      </w:r>
      <w:r>
        <w:rPr>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highlight w:val="yellow"/>
        </w:rPr>
        <w:t>{ontwikkelen en/of onderhouden}</w:t>
      </w:r>
      <w:r>
        <w:t xml:space="preserve"> software </w:t>
      </w:r>
      <w:r>
        <w:rPr>
          <w:highlight w:val="yellow"/>
        </w:rPr>
        <w:t>{beschrijving functionaliteit in hoofdlijnen van de software}</w:t>
      </w:r>
      <w:r>
        <w:t>.</w:t>
      </w:r>
    </w:p>
    <w:p>
      <w:r>
        <w:t xml:space="preserve">De software komt tot stand door middel van een agile aanpak met een doorlooptijd van </w:t>
      </w:r>
      <w:r>
        <w:rPr>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highlight w:val="yellow"/>
        </w:rPr>
        <w:t>{eventueel bijgewerkte andere documentatie waarvoor ICTU verantwoordelijk en/of penvoerder is, zoals testplannen en kwaliteitsplan}</w:t>
      </w:r>
      <w:r>
        <w:t>.</w:t>
      </w:r>
    </w:p>
    <w:p>
      <w:r>
        <w:rPr>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highlight w:val="yellow"/>
        </w:rPr>
        <w:t>{ontwikkeling en/of het onderhoud}</w:t>
      </w:r>
      <w:r>
        <w:t xml:space="preserve"> van </w:t>
      </w:r>
      <w:r>
        <w:rPr>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ZAP by Checkmarx, OpenVAS), toegankelijkheid (Axe), performancetesten (JMeter) en integrale kwaliteitsrapportage (Quality-time),</w:t>
      </w:r>
    </w:p>
    <w:p>
      <w:pPr>
        <w:pStyle w:val="Lijstopsomteken1"/>
        <w:numPr>
          <w:ilvl w:val="0"/>
        </w:numPr>
      </w:pPr>
      <w:r>
        <w:rPr>
          <w:highlight w:val="yellow"/>
        </w:rPr>
        <w:t>{Als operationeel beheer onderdeel is van de dienstverlening:}</w:t>
      </w:r>
      <w:r>
        <w:t xml:space="preserve"> Uitrollen in de productieomgeving (Ansible), container registry (Harbor), performance monitoring (APM), security monitoring (</w:t>
      </w:r>
      <w:r>
        <w:rPr>
          <w:highlight w:val="yellow"/>
        </w:rPr>
        <w:t>{vul aan met concreet product}</w:t>
      </w:r>
      <w:r>
        <w:t>), controle van kwetsbaarheden in frameworks (</w:t>
      </w:r>
      <w:r>
        <w:rPr>
          <w:highlight w:val="yellow"/>
        </w:rPr>
        <w:t>{vul aan met concreet product}</w:t>
      </w:r>
      <w:r>
        <w:t>), controle van images van containers (Trivy), registratie van incidenten bij gebruik en beheer (Topdesk of Jira).</w:t>
      </w:r>
    </w:p>
    <w:p>
      <w:pPr>
        <w:pStyle w:val="Lijstopsomteken1"/>
        <w:numPr>
          <w:ilvl w:val="0"/>
        </w:numPr>
      </w:pPr>
      <w:r>
        <w:t>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highlight w:val="yellow"/>
        </w:rPr>
        <w:t>{Beschrijf hier eventuele andere afspraken met de opdrachtgevende organisatie}</w:t>
      </w:r>
      <w:r>
        <w:t>.</w:t>
      </w:r>
    </w:p>
    <w:p>
      <w:r>
        <w:rPr>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highlight w:val="yellow"/>
        </w:rPr>
        <w:t>{Vul aan en pas aan waar nodig}</w:t>
      </w:r>
    </w:p>
    <w:p>
      <w:pPr>
        <w:pStyle w:val="Kop2"/>
      </w:pPr>
      <w:r>
        <w:t>Werving</w:t>
      </w:r>
    </w:p>
    <w:p>
      <w:r>
        <w:t xml:space="preserve">Direct na de opdrachtverstrekking start ICTU met de bemensing van het project ten behoeve van de realisatiefase. </w:t>
      </w:r>
      <w:r>
        <w:rPr>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highlight w:val="yellow"/>
        </w:rPr>
        <w:t>{opdrachtgevende organisatie}</w:t>
      </w:r>
      <w:r>
        <w:t xml:space="preserve">, </w:t>
      </w:r>
      <w:r>
        <w:rPr>
          <w:highlight w:val="yellow"/>
        </w:rPr>
        <w:t>{partijen}</w:t>
      </w:r>
      <w:r>
        <w:t xml:space="preserve"> en ICTU werken gezamenlijk aan de op te leveren software in een Scrumteam. Voor een goed resultaat is het van belang dat er minimaal </w:t>
      </w:r>
      <w:r>
        <w:rPr>
          <w:highlight w:val="yellow"/>
        </w:rPr>
        <w:t>{aantal}</w:t>
      </w:r>
      <w:r>
        <w:t xml:space="preserve"> </w:t>
      </w:r>
      <w:r>
        <w:rPr>
          <w:highlight w:val="yellow"/>
        </w:rPr>
        <w:t>{dagen/dagdelen}</w:t>
      </w:r>
      <w:r>
        <w:t xml:space="preserve"> per week door alle partijen wordt samengewerkt. </w:t>
      </w:r>
      <w:r>
        <w:rPr>
          <w:highlight w:val="yellow"/>
        </w:rPr>
        <w:t>{partij}</w:t>
      </w:r>
      <w:r>
        <w:t xml:space="preserve"> stelt hiervoor </w:t>
      </w:r>
      <w:r>
        <w:rPr>
          <w:highlight w:val="yellow"/>
        </w:rPr>
        <w:t>{fysieke en/of online}</w:t>
      </w:r>
      <w:r>
        <w:t xml:space="preserve"> ruimte en samenwerkhulpmiddelen beschikbaar; projectmedewerkers zorgen zelf voor een laptop. </w:t>
      </w:r>
      <w:r>
        <w:rPr>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highlight w:val="yellow"/>
        </w:rPr>
        <w:t>{vul aan en pas aan, indien nodig}</w:t>
      </w:r>
    </w:p>
    <w:p>
      <w:pPr>
        <w:pStyle w:val="Kop2"/>
      </w:pPr>
      <w:r>
        <w:t>Projectbesturing</w:t>
      </w:r>
    </w:p>
    <w:p>
      <w:r>
        <w:rPr>
          <w:highlight w:val="yellow"/>
        </w:rPr>
        <w:t>{Beschrijf kort de governancestructuur: stuurgroep, rapportage- en escalatielijnen}</w:t>
      </w:r>
    </w:p>
    <w:p>
      <w:pPr>
        <w:pStyle w:val="Kop2"/>
      </w:pPr>
      <w:r>
        <w:t>Oplevering software</w:t>
      </w:r>
    </w:p>
    <w:p>
      <w:r>
        <w:t xml:space="preserve">De realisatiefase bestaat uit </w:t>
      </w:r>
      <w:r>
        <w:rPr>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highlight w:val="yellow"/>
        </w:rPr>
        <w:t>{opdrachtgevende organisatie}</w:t>
      </w:r>
      <w:r>
        <w:t xml:space="preserve"> deze later alsnog verwerken of ICTU vragen dit in een eventuele vervolgopdracht uit te voeren.</w:t>
      </w:r>
    </w:p>
    <w:p>
      <w:r>
        <w:rPr>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 xml:space="preserve">Inzet </w:t>
      </w:r>
      <w:r>
        <w:rPr>
          <w:highlight w:val="yellow"/>
        </w:rPr>
        <w:t>{opdrachtgevende organisatie}</w:t>
      </w:r>
      <w:r>
        <w:t xml:space="preserve"> en </w:t>
      </w:r>
      <w:r>
        <w:rPr>
          <w:highlight w:val="yellow"/>
        </w:rPr>
        <w:t>{partijen}</w:t>
      </w:r>
    </w:p>
    <w:p>
      <w:r>
        <w:t xml:space="preserve">Betrokkenheid van inhoudsdeskundigen van </w:t>
      </w:r>
      <w:r>
        <w:rPr>
          <w:highlight w:val="yellow"/>
        </w:rPr>
        <w:t>{opdrachtgevende organisatie}</w:t>
      </w:r>
      <w:r>
        <w:t xml:space="preserve"> en </w:t>
      </w:r>
      <w:r>
        <w:rPr>
          <w:highlight w:val="yellow"/>
        </w:rPr>
        <w:t>{partijen}</w:t>
      </w:r>
      <w:r>
        <w:t xml:space="preserve"> is randvoorwaardelijk voor de uitvoering van de opdracht. Van de betrokken medewerkers van deze organisatie</w:t>
      </w:r>
      <w:r>
        <w:rPr>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highlight w:val="yellow"/>
        </w:rPr>
        <w:t>{opdrachtgevende organisatie}</w:t>
      </w:r>
      <w:r>
        <w:t xml:space="preserve"> en </w:t>
      </w:r>
      <w:r>
        <w:rPr>
          <w:highlight w:val="yellow"/>
        </w:rPr>
        <w:t>{partijen}</w:t>
      </w:r>
      <w:r>
        <w:t xml:space="preserve"> voor de uitvoering van dit plan van aanpak (één persoon kan eventueel meer dan één rol vervullen):</w:t>
      </w:r>
    </w:p>
    <w:p>
      <w:r>
        <w:rPr>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highlight w:val="yellow"/>
              </w:rPr>
              <w:t>{opdrachtgevende organisatie}</w:t>
            </w:r>
            <w:r>
              <w:t>)</w:t>
            </w:r>
          </w:p>
        </w:tc>
        <w:tc>
          <w:tcPr>
            <w:tcW w:type="auto" w:w="3023"/>
          </w:tcPr>
          <w:p>
            <w:pPr>
              <w:jc w:val="left"/>
            </w:pPr>
            <w:r>
              <w:rPr>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highlight w:val="yellow"/>
              </w:rPr>
              <w:t>{aantal}</w:t>
            </w:r>
            <w:r>
              <w:t xml:space="preserve"> dagen</w:t>
            </w:r>
          </w:p>
        </w:tc>
        <w:tc>
          <w:tcPr>
            <w:tcW w:type="auto" w:w="3023"/>
          </w:tcPr>
          <w:p>
            <w:pPr>
              <w:jc w:val="left"/>
            </w:pPr>
            <w:r>
              <w:t>Prioritering user stories, sprintplanning, demo, onderhouden backlog</w:t>
            </w:r>
          </w:p>
        </w:tc>
      </w:tr>
      <w:tr>
        <w:tc>
          <w:tcPr>
            <w:tcW w:type="auto" w:w="3023"/>
          </w:tcPr>
          <w:p>
            <w:pPr>
              <w:jc w:val="left"/>
            </w:pPr>
            <w:r>
              <w:t>Business analist</w:t>
            </w:r>
          </w:p>
        </w:tc>
        <w:tc>
          <w:tcPr>
            <w:tcW w:type="auto" w:w="3023"/>
          </w:tcPr>
          <w:p>
            <w:pPr>
              <w:jc w:val="left"/>
            </w:pPr>
            <w:r>
              <w:rPr>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highlight w:val="yellow"/>
              </w:rPr>
              <w:t>{aantal}</w:t>
            </w:r>
            <w:r>
              <w:t xml:space="preserve"> dagen</w:t>
            </w:r>
          </w:p>
        </w:tc>
        <w:tc>
          <w:tcPr>
            <w:tcW w:type="auto" w:w="3023"/>
          </w:tcPr>
          <w:p>
            <w:pPr>
              <w:jc w:val="left"/>
            </w:pPr>
            <w:r>
              <w:t>Bewaken en onderhouden PIA</w:t>
            </w:r>
          </w:p>
        </w:tc>
      </w:tr>
      <w:tr>
        <w:tc>
          <w:tcPr>
            <w:tcW w:type="auto" w:w="3023"/>
          </w:tcPr>
          <w:p>
            <w:pPr>
              <w:jc w:val="left"/>
            </w:pPr>
            <w:r>
              <w:t>Diverse inhoudelijk deskundigen</w:t>
            </w:r>
          </w:p>
        </w:tc>
        <w:tc>
          <w:tcPr>
            <w:tcW w:type="auto" w:w="3023"/>
          </w:tcPr>
          <w:p>
            <w:pPr>
              <w:jc w:val="left"/>
            </w:pPr>
            <w:r>
              <w:rPr>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highlight w:val="yellow"/>
        </w:rPr>
        <w:t>{aantal}</w:t>
      </w:r>
      <w:r>
        <w:t xml:space="preserve"> weken na ondertekening van het voorstel inclusief projectovereenkomst plaats. In deze periode bemensen zowel ICTU als </w:t>
      </w:r>
      <w:r>
        <w:rPr>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highlight w:val="yellow"/>
              </w:rPr>
              <w:t>{opdrachtgevende organisatie}</w:t>
            </w:r>
            <w:r>
              <w:t xml:space="preserve"> en </w:t>
            </w:r>
            <w:r>
              <w:rPr>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highlight w:val="yellow"/>
              </w:rPr>
              <w:t>{opdrachtgevende organisatie}</w:t>
            </w:r>
            <w:r>
              <w:t xml:space="preserve">, </w:t>
            </w:r>
            <w:r>
              <w:rPr>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highlight w:val="yellow"/>
              </w:rPr>
              <w:t>{volgnummer}</w:t>
            </w:r>
          </w:p>
        </w:tc>
        <w:tc>
          <w:tcPr>
            <w:tcW w:type="auto" w:w="4535"/>
          </w:tcPr>
          <w:p>
            <w:pPr>
              <w:jc w:val="left"/>
            </w:pPr>
            <w:r>
              <w:rPr>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t>De risico’s worden door het project bijgehouden in het risicolog. De risico’s en de mitigerende maatregelen worden in de realisatiefase bewaakt en waar nodig geactualiseerd.</w:t>
      </w:r>
    </w:p>
    <w:p>
      <w:r>
        <w:rPr>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Verwachtingen over dit project tussen verschillende partijen (</w:t>
            </w:r>
            <w:r>
              <w:rPr>
                <w:highlight w:val="yellow"/>
              </w:rPr>
              <w:t>{partijen}</w:t>
            </w:r>
            <w:r>
              <w:t>, ICTU) kunnen niet waargemaakt worden, waardoor vertraging ontstaat</w:t>
            </w:r>
          </w:p>
        </w:tc>
        <w:tc>
          <w:tcPr>
            <w:tcW w:type="auto" w:w="4535"/>
          </w:tcPr>
          <w:p>
            <w:pPr>
              <w:jc w:val="left"/>
            </w:pPr>
            <w:r>
              <w:t>Wekelijks projectoverleg, samenwerken door middel van werkgroepen en fysiek bij elkaar komen, kick-off met alle betrokkenen waarbij opdrachtgever of product owner de productvisie uiteenzet.</w:t>
            </w:r>
          </w:p>
        </w:tc>
      </w:tr>
      <w:tr>
        <w:tc>
          <w:tcPr>
            <w:tcW w:type="auto" w:w="4535"/>
          </w:tcPr>
          <w:p>
            <w:pPr>
              <w:jc w:val="left"/>
            </w:pPr>
            <w:r>
              <w:t>Scope-uitbreiding, gebrek aan focus</w:t>
            </w:r>
          </w:p>
        </w:tc>
        <w:tc>
          <w:tcPr>
            <w:tcW w:type="auto" w:w="4535"/>
          </w:tcPr>
          <w:p>
            <w:pPr>
              <w:jc w:val="left"/>
            </w:pPr>
            <w:r>
              <w:t xml:space="preserve">Scope bewaken, alleen de scope uitbreiden als dit noodzakelijk is voor </w:t>
            </w:r>
            <w:r>
              <w:rPr>
                <w:highlight w:val="yellow"/>
              </w:rPr>
              <w:t>{doel}</w:t>
            </w:r>
          </w:p>
        </w:tc>
      </w:tr>
      <w:tr>
        <w:tc>
          <w:tcPr>
            <w:tcW w:type="auto" w:w="4535"/>
          </w:tcPr>
          <w:p>
            <w:pPr>
              <w:jc w:val="left"/>
            </w:pPr>
            <w:r>
              <w:t>Onvoldoende bemensing door vakanties</w:t>
            </w:r>
          </w:p>
        </w:tc>
        <w:tc>
          <w:tcPr>
            <w:tcW w:type="auto" w:w="4535"/>
          </w:tcPr>
          <w:p>
            <w:pPr>
              <w:jc w:val="left"/>
            </w:pPr>
            <w:r>
              <w:t>Rekening houden met langere doorlooptijd dan de (te) eenvoudige rekensom suggereert.</w:t>
            </w:r>
          </w:p>
        </w:tc>
      </w:tr>
      <w:tr>
        <w:tc>
          <w:tcPr>
            <w:tcW w:type="auto" w:w="4535"/>
          </w:tcPr>
          <w:p>
            <w:pPr>
              <w:jc w:val="left"/>
            </w:pPr>
            <w:r>
              <w:rPr>
                <w:highlight w:val="yellow"/>
              </w:rPr>
              <w:t>{Bij DevOps werkwijze}</w:t>
            </w:r>
            <w:r>
              <w:t xml:space="preserve"> Onduidelijkheid over de verdeling van verantwoordelijkheden tussen DevOps-team en beheerorganisatie (incident management, backup &amp; restore, etc.)</w:t>
            </w:r>
          </w:p>
        </w:tc>
        <w:tc>
          <w:tcPr>
            <w:tcW w:type="auto" w:w="4535"/>
          </w:tcPr>
          <w:p>
            <w:pPr>
              <w:jc w:val="left"/>
            </w:pPr>
            <w:r>
              <w:t>Afspraken over onderlinge samenwerking vastleggen in een dossier afspraken en procedures (DAP).</w:t>
            </w:r>
          </w:p>
        </w:tc>
      </w:tr>
      <w:tr>
        <w:tc>
          <w:tcPr>
            <w:tcW w:type="auto" w:w="4535"/>
          </w:tcPr>
          <w:p>
            <w:pPr>
              <w:jc w:val="left"/>
            </w:pPr>
            <w:r>
              <w:rPr>
                <w:highlight w:val="yellow"/>
              </w:rPr>
              <w:t>{risico}</w:t>
            </w:r>
          </w:p>
        </w:tc>
        <w:tc>
          <w:tcPr>
            <w:tcW w:type="auto" w:w="4535"/>
          </w:tcPr>
          <w:p>
            <w:pPr>
              <w:jc w:val="left"/>
            </w:pPr>
            <w:r>
              <w:rPr>
                <w:highlight w:val="yellow"/>
              </w:rPr>
              <w:t>{maatregel}</w:t>
            </w:r>
          </w:p>
        </w:tc>
      </w:tr>
    </w:tbl>
    <w:p>
      <w:pPr>
        <w:pStyle w:val="Kop1"/>
      </w:pPr>
      <w:r>
        <w:t>Verwachte inzet ICTU</w:t>
      </w:r>
    </w:p>
    <w:p>
      <w:r>
        <w:t>Onderstaand is de verwachte inzet per rol van ICTU voor de uitvoering van dit plan van aanpak:</w:t>
      </w:r>
    </w:p>
    <w:p>
      <w:r>
        <w:rPr>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highlight w:val="yellow"/>
              </w:rPr>
              <w:t>{x}</w:t>
            </w:r>
            <w:r>
              <w:t xml:space="preserve"> uur</w:t>
            </w:r>
          </w:p>
        </w:tc>
        <w:tc>
          <w:tcPr>
            <w:tcW w:type="auto" w:w="3023"/>
          </w:tcPr>
          <w:p>
            <w:pPr>
              <w:jc w:val="left"/>
            </w:pPr>
            <w:r>
              <w:t xml:space="preserve">Gebruikersonderzoek, onderhouden UX-richtlijnen, maken en onderhouden prototype </w:t>
            </w:r>
            <w:r>
              <w:rPr>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highlight w:val="yellow"/>
              </w:rPr>
              <w:t>{x}</w:t>
            </w:r>
            <w:r>
              <w:rPr>
                <w:b/>
              </w:rPr>
              <w:t xml:space="preserve"> uur</w:t>
            </w:r>
          </w:p>
        </w:tc>
        <w:tc>
          <w:tcPr>
            <w:tcW w:type="auto" w:w="3023"/>
          </w:tcPr>
          <w:p>
            <w:pPr>
              <w:jc w:val="left"/>
            </w:pPr>
          </w:p>
        </w:tc>
      </w:tr>
    </w:tbl>
    <w:p>
      <w:r>
        <w:rPr>
          <w:highlight w:val="yellow"/>
        </w:rPr>
        <w:t>{In de projectovereenkomst moet in de begroting met onderstaande opmerkingen rekening worden gehouden.}</w:t>
      </w:r>
    </w:p>
    <w:p>
      <w:r>
        <w:rPr>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highlight w:val="yellow"/>
              </w:rPr>
              <w:t>{Projectspecifieke producten}</w:t>
            </w:r>
          </w:p>
        </w:tc>
        <w:tc>
          <w:tcPr>
            <w:tcW w:type="auto" w:w="2267"/>
          </w:tcPr>
          <w:p>
            <w:pPr>
              <w:jc w:val="left"/>
            </w:pPr>
            <w:r>
              <w:rPr>
                <w:highlight w:val="yellow"/>
              </w:rPr>
              <w:t>{waar}</w:t>
            </w:r>
          </w:p>
        </w:tc>
        <w:tc>
          <w:tcPr>
            <w:tcW w:type="auto" w:w="2267"/>
          </w:tcPr>
          <w:p>
            <w:pPr>
              <w:jc w:val="left"/>
            </w:pPr>
            <w:r>
              <w:rPr>
                <w:highlight w:val="yellow"/>
              </w:rPr>
              <w:t>{wie}</w:t>
            </w:r>
          </w:p>
        </w:tc>
        <w:tc>
          <w:tcPr>
            <w:tcW w:type="auto" w:w="2267"/>
          </w:tcPr>
          <w:p>
            <w:pPr>
              <w:jc w:val="left"/>
            </w:pPr>
            <w:r>
              <w:rPr>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