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1.5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privacy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7">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rPr>
                <w:color w:val="000000"/>
                <w:highlight w:val="yellow"/>
              </w:rPr>
              <w:t>{programmeertaal A}</w:t>
            </w:r>
          </w:p>
        </w:tc>
        <w:tc>
          <w:tcPr>
            <w:tcW w:type="auto" w:w="3023"/>
          </w:tcPr>
          <w:p>
            <w:pPr>
              <w:jc w:val="left"/>
            </w:pPr>
            <w:r>
              <w:rPr>
                <w:color w:val="000000"/>
                <w:highlight w:val="yellow"/>
              </w:rPr>
              <w:t>{codeerstandaard A}</w:t>
            </w:r>
          </w:p>
        </w:tc>
        <w:tc>
          <w:tcPr>
            <w:tcW w:type="auto" w:w="3023"/>
          </w:tcPr>
          <w:p>
            <w:pPr>
              <w:jc w:val="left"/>
            </w:pPr>
            <w:r>
              <w:rPr>
                <w:color w:val="000000"/>
                <w:highlight w:val="yellow"/>
              </w:rPr>
              <w:t>{broncodereview}</w:t>
            </w:r>
          </w:p>
        </w:tc>
      </w:tr>
      <w:tr>
        <w:tc>
          <w:tcPr>
            <w:tcW w:type="auto" w:w="3023"/>
          </w:tcPr>
          <w:p>
            <w:pPr>
              <w:jc w:val="left"/>
            </w:pPr>
            <w:r>
              <w:rPr>
                <w:color w:val="000000"/>
                <w:highlight w:val="yellow"/>
              </w:rPr>
              <w:t>{programmeertaal B}</w:t>
            </w:r>
          </w:p>
        </w:tc>
        <w:tc>
          <w:tcPr>
            <w:tcW w:type="auto" w:w="3023"/>
          </w:tcPr>
          <w:p>
            <w:pPr>
              <w:jc w:val="left"/>
            </w:pPr>
            <w:r>
              <w:rPr>
                <w:color w:val="000000"/>
                <w:highlight w:val="yellow"/>
              </w:rPr>
              <w:t>{codeerstandaard B}</w:t>
            </w:r>
          </w:p>
        </w:tc>
        <w:tc>
          <w:tcPr>
            <w:tcW w:type="auto" w:w="3023"/>
          </w:tcPr>
          <w:p>
            <w:pPr>
              <w:jc w:val="left"/>
            </w:pPr>
            <w:r>
              <w:rPr>
                <w:color w:val="000000"/>
                <w:highlight w:val="yellow"/>
              </w:rPr>
              <w:t>{tool B}</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1"/>
        </w:numPr>
      </w:pPr>
      <w:r>
        <w:t>snelheid van handelingen en voldoen aan eisen (loadtest)</w:t>
      </w:r>
    </w:p>
    <w:p>
      <w:pPr>
        <w:pStyle w:val="Lijstnummering1"/>
        <w:numPr>
          <w:ilvl w:val="0"/>
          <w:numId w:val="21"/>
        </w:numPr>
      </w:pPr>
      <w:r>
        <w:t>stabiliteit op langere termijn (duurtest)</w:t>
      </w:r>
    </w:p>
    <w:p>
      <w:pPr>
        <w:pStyle w:val="Lijstnummering1"/>
        <w:numPr>
          <w:ilvl w:val="0"/>
          <w:numId w:val="21"/>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en ZAP by Checkmarx.</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27001:2017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1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quality-time.readthedocs.io/en/latest/reference.html#metric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iso.org/standard/77520.html" TargetMode="External"/><Relationship Id="rId20" Type="http://schemas.openxmlformats.org/officeDocument/2006/relationships/hyperlink" Target="https://www.ncsc.nl/documenten/publicaties/2019/mei/01/ict-beveiligingsrichtlijnen-voor-webapplicaties"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owasp.org/www-project-top-ten/" TargetMode="External"/><Relationship Id="rId29" Type="http://schemas.openxmlformats.org/officeDocument/2006/relationships/hyperlink" Target="https://scrumguides.org/docs/scrumguide/v2020/2020-Scrum-Guide-Dutch.pdf" TargetMode="External"/><Relationship Id="rId30" Type="http://schemas.openxmlformats.org/officeDocument/2006/relationships/hyperlink" Target="https://wetten.overheid.nl/BWBR0022141/2007-07-01" TargetMode="External"/><Relationship Id="rId31" Type="http://schemas.openxmlformats.org/officeDocument/2006/relationships/hyperlink" Target="https://wetten.overheid.nl/BWBR0033507/2013-06-01" TargetMode="External"/><Relationship Id="rId32" Type="http://schemas.openxmlformats.org/officeDocument/2006/relationships/hyperlink" Target="https://wetten.overheid.nl/BWBR0041515/2020-07-15" TargetMode="External"/><Relationship Id="rId33" Type="http://schemas.openxmlformats.org/officeDocument/2006/relationships/hyperlink" Target="https://www.tweedekamer.nl/sites/default/files/field_uploads/33326-5-Eindrapport_tcm181-239826.pdf"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