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bookmarkStart w:id="0" w:name="doelgroep"/>
      <w:pPr>
        <w:pStyle w:val="Kop2"/>
      </w:pPr>
      <w:r>
        <w:t>Doelgroep</w:t>
      </w:r>
      <w:bookmarkEnd w:id="0" w:name="doelgroep"/>
    </w:p>
    <w:p>
      <w:r>
        <w:t xml:space="preserve">Dit document is bedoeld voor iedereen die betrokken is bij het testtraject van </w:t>
      </w:r>
      <w:r>
        <w:rPr>
          <w:color w:val="000000"/>
          <w:highlight w:val="yellow"/>
        </w:rPr>
        <w:t>{het project}</w:t>
      </w:r>
      <w:r>
        <w: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ICTU uitgevoerd. Het beheer wordt door </w:t>
            </w:r>
            <w:r>
              <w:rPr>
                <w:color w:val="000000"/>
                <w:highlight w:val="yellow"/>
              </w:rPr>
              <w:t>{beheerorganisatie}</w:t>
            </w:r>
            <w:r>
              <w:t xml:space="preserve"> uitgevoerd.</w:t>
            </w:r>
          </w:p>
        </w:tc>
      </w:tr>
      <w:tr>
        <w:tc>
          <w:tcPr>
            <w:tcW w:type="auto" w:w="4535"/>
          </w:tcPr>
          <w:p>
            <w:pPr>
              <w:jc w:val="left"/>
            </w:pPr>
            <w:r>
              <w:t>U03</w:t>
            </w:r>
          </w:p>
        </w:tc>
        <w:tc>
          <w:tcPr>
            <w:tcW w:type="auto" w:w="4535"/>
          </w:tcPr>
          <w:p>
            <w:pPr>
              <w:jc w:val="left"/>
            </w:pPr>
            <w:r>
              <w:t>De als testbasis geïdentificeerde documenten dienen door alle acceptanten te zijn geaccordeerd, alvorens met de testspecificatie wordt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U06</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U07</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U08</w:t>
            </w:r>
          </w:p>
        </w:tc>
        <w:tc>
          <w:tcPr>
            <w:tcW w:type="auto" w:w="4535"/>
          </w:tcPr>
          <w:p>
            <w:pPr>
              <w:jc w:val="left"/>
            </w:pPr>
            <w:r>
              <w:t>De testomgeving wordt conform planning tijdig en correct werkend opgeleverd.</w:t>
            </w:r>
          </w:p>
        </w:tc>
      </w:tr>
      <w:tr>
        <w:tc>
          <w:tcPr>
            <w:tcW w:type="auto" w:w="4535"/>
          </w:tcPr>
          <w:p>
            <w:pPr>
              <w:jc w:val="left"/>
            </w:pPr>
            <w:r>
              <w:t>U09</w:t>
            </w:r>
          </w:p>
        </w:tc>
        <w:tc>
          <w:tcPr>
            <w:tcW w:type="auto" w:w="4535"/>
          </w:tcPr>
          <w:p>
            <w:pPr>
              <w:jc w:val="left"/>
            </w:pPr>
            <w:r>
              <w:t xml:space="preserve">Er is voldoende en gepaste testdata ter beschikking. Zie de paragraaf </w:t>
            </w:r>
            <w:hyperlink r:id="rId16">
              <w:r>
                <w:rPr>
                  <w:rStyle w:val="Hyperlink"/>
                </w:rPr>
                <w:t>Testdata</w:t>
              </w:r>
            </w:hyperlink>
            <w:r>
              <w:t xml:space="preserve"> in het hoofdstuk </w:t>
            </w:r>
            <w:hyperlink r:id="rId17">
              <w:r>
                <w:rPr>
                  <w:rStyle w:val="Hyperlink"/>
                </w:rPr>
                <w:t>Infrastructuur</w:t>
              </w:r>
            </w:hyperlink>
            <w:r>
              <w:t xml:space="preserve"> voor een beschrijving van de testdata.</w:t>
            </w:r>
          </w:p>
        </w:tc>
      </w:tr>
      <w:tr>
        <w:tc>
          <w:tcPr>
            <w:tcW w:type="auto" w:w="4535"/>
          </w:tcPr>
          <w:p>
            <w:pPr>
              <w:jc w:val="left"/>
            </w:pPr>
            <w:r>
              <w:t>U10</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U11</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U12</w:t>
            </w:r>
          </w:p>
        </w:tc>
        <w:tc>
          <w:tcPr>
            <w:tcW w:type="auto" w:w="4535"/>
          </w:tcPr>
          <w:p>
            <w:pPr>
              <w:jc w:val="left"/>
            </w:pPr>
            <w:r>
              <w:t>Nieuwe functionaliteit wordt vastgelegd in de geautomatiseerde regressietest.</w:t>
            </w:r>
          </w:p>
        </w:tc>
      </w:tr>
      <w:tr>
        <w:tc>
          <w:tcPr>
            <w:tcW w:type="auto" w:w="4535"/>
          </w:tcPr>
          <w:p>
            <w:pPr>
              <w:jc w:val="left"/>
            </w:pPr>
            <w:r>
              <w:t>U13</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8">
        <w:r>
          <w:rPr>
            <w:rStyle w:val="Hyperlink"/>
          </w:rPr>
          <w:t>Hoofdstuk 3</w:t>
        </w:r>
      </w:hyperlink>
      <w:r>
        <w:t xml:space="preserve"> beschrijft de scope van dit testplan. </w:t>
      </w:r>
      <w:hyperlink r:id="rId19">
        <w:r>
          <w:rPr>
            <w:rStyle w:val="Hyperlink"/>
          </w:rPr>
          <w:t>Hoofdstuk 4</w:t>
        </w:r>
      </w:hyperlink>
      <w:r>
        <w:t xml:space="preserve"> beschrijft de testaanpak en de verschillende soorten testen die in het project toegepast worden. </w:t>
      </w:r>
      <w:hyperlink r:id="rId17">
        <w:r>
          <w:rPr>
            <w:rStyle w:val="Hyperlink"/>
          </w:rPr>
          <w:t>Hoofdstuk 5</w:t>
        </w:r>
      </w:hyperlink>
      <w:r>
        <w:t xml:space="preserve"> beschrijft de infrastructuur voor het testen, de te gebruiken testtooling en de testdata. </w:t>
      </w:r>
      <w:hyperlink r:id="rId20">
        <w:r>
          <w:rPr>
            <w:rStyle w:val="Hyperlink"/>
          </w:rPr>
          <w:t>Hoofdstuk 6</w:t>
        </w:r>
      </w:hyperlink>
      <w:r>
        <w:t xml:space="preserve"> beschrijft de testrapportages en testartifacten die geproduceerd zullen worden.</w:t>
      </w:r>
    </w:p>
    <w:p>
      <w:hyperlink r:id="rId21">
        <w:r>
          <w:rPr>
            <w:rStyle w:val="Hyperlink"/>
          </w:rPr>
          <w:t>Bijlage A</w:t>
        </w:r>
      </w:hyperlink>
      <w:r>
        <w:t xml:space="preserve"> bevat afkortingen en termen die voorkomen in de ICTU Kwaliteitsaanpak Softwareontwikkeling en bijbehorende templates. </w:t>
      </w:r>
      <w:hyperlink r:id="rId22">
        <w:r>
          <w:rPr>
            <w:rStyle w:val="Hyperlink"/>
          </w:rPr>
          <w:t>Bijlage B</w:t>
        </w:r>
      </w:hyperlink>
      <w:r>
        <w:t xml:space="preserve"> verwijst naar regelmatig gebruikte bronnen. </w:t>
      </w:r>
      <w:hyperlink r:id="rId23">
        <w:r>
          <w:rPr>
            <w:rStyle w:val="Hyperlink"/>
          </w:rPr>
          <w:t>Bijlage C</w:t>
        </w:r>
      </w:hyperlink>
      <w:r>
        <w:t xml:space="preserve"> bevat een beknopte samenvatting van de ICTU Kwaliteitsaanpak Softwareontwikkeling.</w:t>
      </w:r>
    </w:p>
    <w:p>
      <w:bookmarkStart w:id="0" w:name="scope"/>
      <w:pPr>
        <w:pStyle w:val="Kop1"/>
      </w:pPr>
      <w:r>
        <w:t>Scope</w:t>
      </w:r>
      <w:bookmarkEnd w:id="0" w:name="scope"/>
    </w:p>
    <w:p>
      <w:r>
        <w:t>Dit hoofdstuk beschrijft welke projecten, systemen, componenten, releases, use cases, user stories en niet-functionele eigenschappen binnen of juist buiten de scope van dit detailtestplan vallen.</w:t>
      </w:r>
    </w:p>
    <w:p>
      <w:bookmarkStart w:id="0" w:name="binnen-scope"/>
      <w:pPr>
        <w:pStyle w:val="Kop2"/>
      </w:pPr>
      <w:r>
        <w:t>Binnen scope</w:t>
      </w:r>
      <w:bookmarkEnd w:id="0" w:name="binnen-scope"/>
    </w:p>
    <w:p>
      <w:r>
        <w:rPr>
          <w:color w:val="000000"/>
          <w:highlight w:val="yellow"/>
        </w:rPr>
        <w:t>{Beschrijf hier het beschouwingsgebied in gedetailleerde termen als projecten, systemen, releases, versies en user stories die binnen de opdracht vallen.}</w:t>
      </w:r>
    </w:p>
    <w:p>
      <w:bookmarkStart w:id="0" w:name="buiten-scope"/>
      <w:pPr>
        <w:pStyle w:val="Kop2"/>
      </w:pPr>
      <w:r>
        <w:t>Buiten scope</w:t>
      </w:r>
      <w:bookmarkEnd w:id="0" w:name="buiten-scope"/>
    </w:p>
    <w:p>
      <w:r>
        <w:rPr>
          <w:color w:val="000000"/>
          <w:highlight w:val="yellow"/>
        </w:rPr>
        <w:t>{Beschrijf hier relevante projecten, systemen, releases, versies en user stories die juist buiten de opdracht vallen.}</w:t>
      </w:r>
    </w:p>
    <w:p>
      <w:bookmarkStart w:id="0" w:name="testaanpak"/>
      <w:pPr>
        <w:pStyle w:val="Kop1"/>
      </w:pPr>
      <w:r>
        <w:t>Testaanpak</w:t>
      </w:r>
      <w:bookmarkEnd w:id="0" w:name="testaanpak"/>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bookmarkStart w:id="0" w:name="soorten-testen"/>
      <w:pPr>
        <w:pStyle w:val="Kop2"/>
      </w:pPr>
      <w:r>
        <w:t>Soorten testen</w:t>
      </w:r>
      <w:bookmarkEnd w:id="0" w:name="soorten-testen"/>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bookmarkStart w:id="0" w:name="agile-werkwijze"/>
      <w:pPr>
        <w:pStyle w:val="Kop2"/>
      </w:pPr>
      <w:r>
        <w:t>Agile werkwijze</w:t>
      </w:r>
      <w:bookmarkEnd w:id="0" w:name="agile-werkwijze"/>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bookmarkStart w:id="0" w:name="testactiviteiten-tijdens-sprints"/>
      <w:pPr>
        <w:pStyle w:val="Kop2"/>
      </w:pPr>
      <w:r>
        <w:t>Testactiviteiten tijdens sprints</w:t>
      </w:r>
      <w:bookmarkEnd w:id="0" w:name="testactiviteiten-tijdens-sprints"/>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bookmarkStart w:id="0" w:name="entry-en-exitcriteria"/>
      <w:pPr>
        <w:pStyle w:val="Kop2"/>
      </w:pPr>
      <w:r>
        <w:t>Entry- en exitcriteria</w:t>
      </w:r>
      <w:bookmarkEnd w:id="0" w:name="entry-en-exitcriteria"/>
    </w:p>
    <w:p>
      <w:r>
        <w:t>Dit hoofdstuk beschrijft wat nodig is om te kunnen testen en wanneer er voldoende getest is.</w:t>
      </w:r>
    </w:p>
    <w:p>
      <w:bookmarkStart w:id="0" w:name="entry-criteria"/>
      <w:pPr>
        <w:pStyle w:val="Kop3"/>
      </w:pPr>
      <w:r>
        <w:t>Entry-criteria</w:t>
      </w:r>
      <w:bookmarkEnd w:id="0" w:name="entry-criteria"/>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bookmarkStart w:id="0" w:name="exitcriteria"/>
      <w:pPr>
        <w:pStyle w:val="Kop3"/>
      </w:pPr>
      <w:r>
        <w:t>Exitcriteria</w:t>
      </w:r>
      <w:bookmarkEnd w:id="0" w:name="exitcriteria"/>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bookmarkStart w:id="0" w:name="infrastructuur"/>
      <w:pPr>
        <w:pStyle w:val="Kop1"/>
      </w:pPr>
      <w:r>
        <w:t>Infrastructuur</w:t>
      </w:r>
      <w:bookmarkEnd w:id="0" w:name="infrastructuur"/>
    </w:p>
    <w:p>
      <w:bookmarkStart w:id="0" w:name="testomgevingen"/>
      <w:pPr>
        <w:pStyle w:val="Kop2"/>
      </w:pPr>
      <w:r>
        <w:t>Testomgevingen</w:t>
      </w:r>
      <w:bookmarkEnd w:id="0" w:name="testomgevingen"/>
    </w:p>
    <w:p>
      <w:r>
        <w:rPr>
          <w:color w:val="000000"/>
          <w:highlight w:val="yellow"/>
        </w:rPr>
        <w:t>{Neem hieronder alleen testomgevingen op die voor het project van toepassing zijn.}</w:t>
      </w:r>
    </w:p>
    <w:p>
      <w:r>
        <w:t>Conform BIO-8.31.01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bookmarkStart w:id="0" w:name="testtools"/>
      <w:pPr>
        <w:pStyle w:val="Kop2"/>
      </w:pPr>
      <w:r>
        <w:t>Testtools</w:t>
      </w:r>
      <w:bookmarkEnd w:id="0" w:name="testtools"/>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bookmarkStart w:id="0" w:name="testdata"/>
      <w:pPr>
        <w:pStyle w:val="Kop2"/>
      </w:pPr>
      <w:r>
        <w:t>Testdata</w:t>
      </w:r>
      <w:bookmarkEnd w:id="0" w:name="testdata"/>
    </w:p>
    <w:p>
      <w:r>
        <w:t>Conform BIO-8.31.01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bookmarkStart w:id="0" w:name="rapportages-en-testartifacten"/>
      <w:pPr>
        <w:pStyle w:val="Kop1"/>
      </w:pPr>
      <w:r>
        <w:t>Rapportages en testartifacten</w:t>
      </w:r>
      <w:bookmarkEnd w:id="0" w:name="rapportages-en-testartifacten"/>
    </w:p>
    <w:p>
      <w:r>
        <w:t>Dit hoofdstuk beschrijft de testrapportages en andere testartifacten die het project oplevert.</w:t>
      </w:r>
    </w:p>
    <w:p>
      <w:bookmarkStart w:id="0" w:name="interne-testrapportages"/>
      <w:pPr>
        <w:pStyle w:val="Kop2"/>
      </w:pPr>
      <w:r>
        <w:t>Interne testrapportages</w:t>
      </w:r>
      <w:bookmarkEnd w:id="0" w:name="interne-testrapportages"/>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bookmarkStart w:id="0" w:name="externe-testrapportages"/>
      <w:pPr>
        <w:pStyle w:val="Kop2"/>
      </w:pPr>
      <w:r>
        <w:t>Externe testrapportages</w:t>
      </w:r>
      <w:bookmarkEnd w:id="0" w:name="externe-testrapportages"/>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bookmarkStart w:id="0" w:name="bevindingenprocedure"/>
      <w:pPr>
        <w:pStyle w:val="Kop2"/>
      </w:pPr>
      <w:r>
        <w:t>Bevindingenprocedure</w:t>
      </w:r>
      <w:bookmarkEnd w:id="0" w:name="bevindingenprocedure"/>
    </w:p>
    <w:p>
      <w:r>
        <w:rPr>
          <w:color w:val="000000"/>
          <w:highlight w:val="yellow"/>
        </w:rPr>
        <w:t>{Beschrijf de bevindingenprocedure, zoals die voor het project geldt.}</w:t>
      </w:r>
    </w:p>
    <w:p>
      <w:bookmarkStart w:id="0" w:name="testartifacten"/>
      <w:pPr>
        <w:pStyle w:val="Kop2"/>
      </w:pPr>
      <w:r>
        <w:t>Testartifacten</w:t>
      </w:r>
      <w:bookmarkEnd w:id="0" w:name="testartifacten"/>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4">
              <w:r>
                <w:rPr>
                  <w:rStyle w:val="Hyperlink"/>
                </w:rPr>
                <w:t>BIO</w:t>
              </w:r>
            </w:hyperlink>
          </w:p>
        </w:tc>
        <w:tc>
          <w:tcPr>
            <w:tcW w:type="auto" w:w="4535"/>
          </w:tcPr>
          <w:p>
            <w:pPr>
              <w:jc w:val="left"/>
            </w:pPr>
            <w:r>
              <w:t>Baseline Informatiebeveiliging Overheid.</w:t>
            </w:r>
          </w:p>
        </w:tc>
      </w:tr>
      <w:tr>
        <w:tc>
          <w:tcPr>
            <w:tcW w:type="auto" w:w="4535"/>
          </w:tcPr>
          <w:p>
            <w:pPr>
              <w:jc w:val="left"/>
            </w:pPr>
            <w:hyperlink r:id="rId2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0">
              <w:r>
                <w:rPr>
                  <w:rStyle w:val="Hyperlink"/>
                </w:rPr>
                <w:t>NEN 7510-2:2024</w:t>
              </w:r>
            </w:hyperlink>
          </w:p>
        </w:tc>
        <w:tc>
          <w:tcPr>
            <w:tcW w:type="auto" w:w="4535"/>
          </w:tcPr>
          <w:p>
            <w:pPr>
              <w:jc w:val="left"/>
            </w:pPr>
          </w:p>
        </w:tc>
      </w:tr>
      <w:tr>
        <w:tc>
          <w:tcPr>
            <w:tcW w:type="auto" w:w="4535"/>
          </w:tcPr>
          <w:p>
            <w:pPr>
              <w:jc w:val="left"/>
            </w:pPr>
            <w:hyperlink r:id="rId3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2">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testdata" TargetMode="External"/><Relationship Id="rId17" Type="http://schemas.openxmlformats.org/officeDocument/2006/relationships/hyperlink" Target="#infrastructuur" TargetMode="External"/><Relationship Id="rId18" Type="http://schemas.openxmlformats.org/officeDocument/2006/relationships/hyperlink" Target="#scope" TargetMode="External"/><Relationship Id="rId19" Type="http://schemas.openxmlformats.org/officeDocument/2006/relationships/hyperlink" Target="#testaanpak" TargetMode="External"/><Relationship Id="rId20" Type="http://schemas.openxmlformats.org/officeDocument/2006/relationships/hyperlink" Target="#rapportages-en-testartifacten" TargetMode="External"/><Relationship Id="rId21" Type="http://schemas.openxmlformats.org/officeDocument/2006/relationships/hyperlink" Target="#terminologie-en-afkortingen" TargetMode="External"/><Relationship Id="rId22" Type="http://schemas.openxmlformats.org/officeDocument/2006/relationships/hyperlink" Target="#bronnen" TargetMode="External"/><Relationship Id="rId23" Type="http://schemas.openxmlformats.org/officeDocument/2006/relationships/hyperlink" Target="#de-ictu-kwaliteitsaanpak-softwareontwikk" TargetMode="External"/><Relationship Id="rId24" Type="http://schemas.openxmlformats.org/officeDocument/2006/relationships/hyperlink" Target="https://www.bio-overheid.nl/media/dr4inbhc/20260109-baseline-informatiebeveiliging-overheid-2-bio2-v13-def.pdf" TargetMode="External"/><Relationship Id="rId25" Type="http://schemas.openxmlformats.org/officeDocument/2006/relationships/hyperlink" Target="https://www.iso.org/standard/77520.html" TargetMode="External"/><Relationship Id="rId26" Type="http://schemas.openxmlformats.org/officeDocument/2006/relationships/hyperlink" Target="https://www.ncsc.nl/documenten/publicaties/2019/mei/01/ict-beveiligingsrichtlijnen-voor-webapplicaties" TargetMode="External"/><Relationship Id="rId27" Type="http://schemas.openxmlformats.org/officeDocument/2006/relationships/hyperlink" Target="https://www.nen.nl/nen-iso-iec-25010-2023-en-318088" TargetMode="External"/><Relationship Id="rId28" Type="http://schemas.openxmlformats.org/officeDocument/2006/relationships/hyperlink" Target="https://www.nen.nl/nen-en-iso-iec-27001-2023-nl-314206" TargetMode="External"/><Relationship Id="rId29" Type="http://schemas.openxmlformats.org/officeDocument/2006/relationships/hyperlink" Target="https://www.nen.nl/nen-en-iso-iec-27002-2022-nl-304509" TargetMode="External"/><Relationship Id="rId30" Type="http://schemas.openxmlformats.org/officeDocument/2006/relationships/hyperlink" Target="https://www.nen.nl/nen-7510-2-2024-nl-331314" TargetMode="External"/><Relationship Id="rId31" Type="http://schemas.openxmlformats.org/officeDocument/2006/relationships/hyperlink" Target="https://www.nen.nl/npr-5325-2017-nl-238298" TargetMode="External"/><Relationship Id="rId32" Type="http://schemas.openxmlformats.org/officeDocument/2006/relationships/hyperlink" Target="https://www.nen.nl/npr-5326-2019-nl-262885" TargetMode="External"/><Relationship Id="rId33" Type="http://schemas.openxmlformats.org/officeDocument/2006/relationships/hyperlink" Target="https://www.noraonline.nl" TargetMode="External"/><Relationship Id="rId34" Type="http://schemas.openxmlformats.org/officeDocument/2006/relationships/hyperlink" Target="https://owasp.org/www-project-top-ten/" TargetMode="External"/><Relationship Id="rId35" Type="http://schemas.openxmlformats.org/officeDocument/2006/relationships/hyperlink" Target="https://scrumguides.org/docs/scrumguide/v2020/2020-Scrum-Guide-Dutch.pdf" TargetMode="External"/><Relationship Id="rId36" Type="http://schemas.openxmlformats.org/officeDocument/2006/relationships/hyperlink" Target="https://wetten.overheid.nl/BWBR0022141/2007-07-01" TargetMode="External"/><Relationship Id="rId37" Type="http://schemas.openxmlformats.org/officeDocument/2006/relationships/hyperlink" Target="https://wetten.overheid.nl/BWBR0051482/2025-09-09/" TargetMode="External"/><Relationship Id="rId38" Type="http://schemas.openxmlformats.org/officeDocument/2006/relationships/hyperlink" Target="https://wetten.overheid.nl/BWBR0041515/2024-10-01/" TargetMode="External"/><Relationship Id="rId39" Type="http://schemas.openxmlformats.org/officeDocument/2006/relationships/hyperlink" Target="https://www.tweedekamer.nl/sites/default/files/field_uploads/33326-5-Eindrapport_tcm181-239826.pdf" TargetMode="External"/><Relationship Id="rId40" Type="http://schemas.openxmlformats.org/officeDocument/2006/relationships/hyperlink" Target="https://www.ictu.nl/kwaliteitsaanpak" TargetMode="External"/><Relationship Id="rId41" Type="http://schemas.openxmlformats.org/officeDocument/2006/relationships/hyperlink" Target="https://ictu.github.io/Kwaliteitsaanpak/wip/ICTU-Kwaliteitsaanpak-Wijzigingsgeschiedenis.html" TargetMode="External"/><Relationship Id="rId42"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