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Business impact analyse (BIA), </w:t>
      </w:r>
      <w:r>
        <w:rPr>
          <w:color w:val="000000"/>
          <w:highlight w:val="yellow"/>
        </w:rPr>
        <w:t>{documentreferentie}</w:t>
      </w:r>
      <w:r>
        <w:t>,</w:t>
      </w:r>
    </w:p>
    <w:p>
      <w:pPr>
        <w:pStyle w:val="Lijstopsomteken1"/>
        <w:numPr>
          <w:ilvl w:val="0"/>
        </w:numPr>
      </w:pPr>
      <w:r>
        <w:t xml:space="preserve">Data protection impact assessment (DPIA), </w:t>
      </w:r>
      <w:r>
        <w:rPr>
          <w:color w:val="000000"/>
          <w:highlight w:val="yellow"/>
        </w:rPr>
        <w:t>{documentreferentie}</w:t>
      </w:r>
      <w:r>
        <w:t>,</w:t>
      </w:r>
    </w:p>
    <w:p>
      <w:pPr>
        <w:pStyle w:val="Lijstopsomteken1"/>
        <w:numPr>
          <w:ilvl w:val="0"/>
        </w:numPr>
      </w:pPr>
      <w:r>
        <w:t xml:space="preserve">Impact assessment mensenrechten en algoritmes (IAMA), </w:t>
      </w:r>
      <w:r>
        <w:rPr>
          <w:color w:val="000000"/>
          <w:highlight w:val="yellow"/>
        </w:rPr>
        <w:t>{documentreferentie}</w:t>
      </w:r>
      <w:r>
        <w:t>,</w:t>
      </w:r>
    </w:p>
    <w:p>
      <w:pPr>
        <w:pStyle w:val="Lijstopsomteken1"/>
        <w:numPr>
          <w:ilvl w:val="0"/>
        </w:numPr>
      </w:pPr>
      <w:r>
        <w:t xml:space="preserve">Softwarearchitectuurdocument (SAD), </w:t>
      </w:r>
      <w:r>
        <w:rPr>
          <w:color w:val="000000"/>
          <w:highlight w:val="yellow"/>
        </w:rPr>
        <w:t>{documentreferentie}</w:t>
      </w:r>
      <w:r>
        <w:t>,</w:t>
      </w:r>
    </w:p>
    <w:p>
      <w:pPr>
        <w:pStyle w:val="Lijstopsomteken1"/>
        <w:numPr>
          <w:ilvl w:val="0"/>
        </w:numPr>
      </w:pPr>
      <w:r>
        <w:t xml:space="preserve">Infrastructuurarchitectuur (IA), </w:t>
      </w:r>
      <w:r>
        <w:rPr>
          <w:color w:val="000000"/>
          <w:highlight w:val="yellow"/>
        </w:rPr>
        <w:t>{documentreferentie}</w:t>
      </w:r>
      <w:r>
        <w:t>,</w:t>
      </w:r>
    </w:p>
    <w:p>
      <w:pPr>
        <w:pStyle w:val="Lijstopsomteken1"/>
        <w:numPr>
          <w:ilvl w:val="0"/>
        </w:numPr>
      </w:pPr>
      <w:r>
        <w:t xml:space="preserve">Informatiebeveiligingsplan (IB-plan),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Niet-functionele eisen (NFE),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Interactie-ontwerp (UX), </w:t>
      </w:r>
      <w:r>
        <w:rPr>
          <w:color w:val="000000"/>
          <w:highlight w:val="yellow"/>
        </w:rPr>
        <w:t>{documentreferentie}</w:t>
      </w:r>
      <w:r>
        <w:t>,</w:t>
      </w:r>
    </w:p>
    <w:p>
      <w:pPr>
        <w:pStyle w:val="Lijstopsomteken1"/>
        <w:numPr>
          <w:ilvl w:val="0"/>
        </w:numPr>
      </w:pPr>
      <w:r>
        <w:t xml:space="preserve">Product backlog, </w:t>
      </w:r>
      <w:r>
        <w:rPr>
          <w:color w:val="000000"/>
          <w:highlight w:val="yellow"/>
        </w:rPr>
        <w:t>{documentreferentie}</w:t>
      </w:r>
      <w:r>
        <w:t>,</w:t>
      </w:r>
    </w:p>
    <w:p>
      <w:pPr>
        <w:pStyle w:val="Lijstopsomteken1"/>
        <w:numPr>
          <w:ilvl w:val="0"/>
        </w:numPr>
      </w:pPr>
      <w:r>
        <w:t xml:space="preserve">Vastgesteld minimal viable product, </w:t>
      </w:r>
      <w:r>
        <w:rPr>
          <w:color w:val="000000"/>
          <w:highlight w:val="yellow"/>
        </w:rPr>
        <w:t>{documentreferentie}</w:t>
      </w:r>
      <w:r>
        <w:t>,</w:t>
      </w:r>
    </w:p>
    <w:p>
      <w:pPr>
        <w:pStyle w:val="Lijstopsomteken1"/>
        <w:numPr>
          <w:ilvl w:val="0"/>
        </w:numPr>
      </w:pPr>
      <w:r>
        <w:t xml:space="preserve">Wireframe, mockup, prototype, animatie, </w:t>
      </w:r>
      <w:r>
        <w:rPr>
          <w:color w:val="000000"/>
          <w:highlight w:val="yellow"/>
        </w:rPr>
        <w:t>{documentreferentie}</w:t>
      </w:r>
      <w:r>
        <w:t>.</w:t>
      </w:r>
    </w:p>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0">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1">
              <w:r>
                <w:rPr>
                  <w:rStyle w:val="Hyperlink"/>
                </w:rPr>
                <w:t>NEN 7510-2:2024</w:t>
              </w:r>
            </w:hyperlink>
          </w:p>
        </w:tc>
        <w:tc>
          <w:tcPr>
            <w:tcW w:type="auto" w:w="4535"/>
          </w:tcPr>
          <w:p>
            <w:pPr>
              <w:jc w:val="left"/>
            </w:pP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2">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23-nl-314206" TargetMode="External"/><Relationship Id="rId20" Type="http://schemas.openxmlformats.org/officeDocument/2006/relationships/hyperlink" Target="https://www.nen.nl/nen-en-iso-iec-27002-2022-nl-304509" TargetMode="External"/><Relationship Id="rId21" Type="http://schemas.openxmlformats.org/officeDocument/2006/relationships/hyperlink" Target="https://www.nen.nl/nen-7510-2-2024-nl-331314"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4-10-01/0"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