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69410785-40AE-46F5-9584-F2C42817EEF8}"/>
</file>

<file path=customXml/itemProps3.xml><?xml version="1.0" encoding="utf-8"?>
<ds:datastoreItem xmlns:ds="http://schemas.openxmlformats.org/officeDocument/2006/customXml" ds:itemID="{CFFFD5D8-897C-4738-99B2-736EEDD27221}"/>
</file>

<file path=customXml/itemProps4.xml><?xml version="1.0" encoding="utf-8"?>
<ds:datastoreItem xmlns:ds="http://schemas.openxmlformats.org/officeDocument/2006/customXml" ds:itemID="{88FCE338-221E-47F5-AA01-8FE39473E46D}"/>
</file>

<file path=customXml/itemProps5.xml><?xml version="1.0" encoding="utf-8"?>
<ds:datastoreItem xmlns:ds="http://schemas.openxmlformats.org/officeDocument/2006/customXml" ds:itemID="{EBC32AA2-3BC7-4B4C-913F-5B2E263A4950}"/>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