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v4.1.0, 17-01-2025</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M31: Het project beschikt over actuele vastgestelde informatie</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w:t>
      </w:r>
    </w:p>
    <w:p>
      <w:r>
        <w:t>De opdrachtgevende organisatie zorgt dat het project vanaf de start van de voorfase beschikt over:</w:t>
      </w:r>
    </w:p>
    <w:p>
      <w:pPr>
        <w:pStyle w:val="Lijstnummering1"/>
        <w:numPr>
          <w:ilvl w:val="0"/>
          <w:numId w:val="19"/>
        </w:numPr>
      </w:pPr>
      <w:r>
        <w:t>Projectstartarchitectuur,</w:t>
      </w:r>
    </w:p>
    <w:p>
      <w:pPr>
        <w:pStyle w:val="Lijstnummering1"/>
        <w:numPr>
          <w:ilvl w:val="0"/>
          <w:numId w:val="19"/>
        </w:numPr>
      </w:pPr>
      <w:r>
        <w:t>Business impact analyse,</w:t>
      </w:r>
    </w:p>
    <w:p>
      <w:pPr>
        <w:pStyle w:val="Lijstnummering1"/>
        <w:numPr>
          <w:ilvl w:val="0"/>
          <w:numId w:val="19"/>
        </w:numPr>
      </w:pPr>
      <w:r>
        <w:t>Privacy impact assessment,</w:t>
      </w:r>
    </w:p>
    <w:p>
      <w:pPr>
        <w:pStyle w:val="Lijstnummering1"/>
        <w:numPr>
          <w:ilvl w:val="0"/>
          <w:numId w:val="19"/>
        </w:numPr>
      </w:pPr>
      <w:r>
        <w:t>Afspraken tussen opdrachtgevende organisatie en beheerorganisatie.</w:t>
      </w:r>
    </w:p>
    <w:p>
      <w:r>
        <w:t>Als de benodigde informatie niet gereed is bij de start van de voorfase dan maken opdrachtgevende organisatie en ICTU nadere afspraken over de manier waarop de benodigde informatie nog tijdens de voorfase beschikbaar komt voor het project.</w:t>
      </w:r>
    </w:p>
    <w:p>
      <w:pPr>
        <w:pStyle w:val="Kop3"/>
      </w:pPr>
      <w:r>
        <w:t>Projectstartarchitectuur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analyse</w:t>
      </w:r>
    </w:p>
    <w:p>
      <w:r>
        <w:t>In een business impact analyse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Privacy impact assessment</w:t>
      </w:r>
    </w:p>
    <w:p>
      <w:r>
        <w:t>In een privacy impact assessment (PIA) legt de opdrachtgevende organisatie vast wat de privacy-gevoeligheid is van de gegevens die in een proces of informatiesysteem worden verzameld en verwerkt. De rechtmatigheid van de verwerking wordt beoordeeld. En de 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PIA niet nodig is, dan is een verklaring daaromtrent vereist.</w:t>
      </w:r>
    </w:p>
    <w:p>
      <w:pPr>
        <w:pStyle w:val="Kop3"/>
      </w:pPr>
      <w:r>
        <w:t>Afspraken tussen opdrachtgevende organisatie en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Rationale</w:t>
      </w:r>
    </w:p>
    <w:p>
      <w:r>
        <w:t>De genoemde producten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pPr>
        <w:pStyle w:val="Kop2"/>
      </w:pPr>
      <w:r>
        <w:t>M01: Het project levert in elke fase vastgestelde producten en informatie op</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 geeft aan in welke fase ze worden opgeleverd.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Business impact analyse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Privacy impact assessment</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 business impact analyse en privacy impact assessment</w:t>
      </w:r>
    </w:p>
    <w:p>
      <w:r>
        <w:t xml:space="preserve">De opdrachtgevende organisatie zorgt dat het project bij de start van de voorfase inzicht heeft in de informatie die typisch wordt vastgelegd in een projectstartarchitectuur, business impact analyse en privacy impact assessment. Zie </w:t>
      </w:r>
      <w:r>
        <w:t>M31: Het project beschikt over actuele vastgestelde informatie</w:t>
      </w:r>
      <w:r>
        <w:t>.</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privacy impact assessment (PIA),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mastertestplan</w:t>
        </w:r>
      </w:hyperlink>
      <w:r>
        <w:t>.</w:t>
      </w:r>
    </w:p>
    <w:p>
      <w:pPr>
        <w:pStyle w:val="Lijstopsomteken1"/>
        <w:numPr>
          <w:ilvl w:val="0"/>
        </w:numPr>
      </w:pPr>
      <w:hyperlink r:id="rId31">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analyse (BIA), privacy impact assessment (PIA)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2">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Samenhang voorfaseproducten</w:t>
      </w:r>
    </w:p>
    <w:p/>
    <w:p>
      <w:r>
        <w:drawing>
          <wp:inline xmlns:a="http://schemas.openxmlformats.org/drawingml/2006/main" xmlns:pic="http://schemas.openxmlformats.org/drawingml/2006/picture">
            <wp:extent cx="5400000" cy="2827174"/>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3"/>
                    <a:stretch>
                      <a:fillRect/>
                    </a:stretch>
                  </pic:blipFill>
                  <pic:spPr>
                    <a:xfrm>
                      <a:off x="0" y="0"/>
                      <a:ext cx="5400000" cy="2827174"/>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voorgeschreven producten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levert in elke fase vastgestelde producten en informatie op</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20"/>
        </w:numPr>
      </w:pPr>
      <w:r>
        <w:t>Een rapportage met tenminste de bevindingen, risico's voor opdrachtgevende organisatie en ICTU, en mitigerende maatregelen,</w:t>
      </w:r>
    </w:p>
    <w:p>
      <w:pPr>
        <w:pStyle w:val="Lijstnummering1"/>
        <w:numPr>
          <w:ilvl w:val="0"/>
          <w:numId w:val="20"/>
        </w:numPr>
      </w:pPr>
      <w:r>
        <w:t>Een transitieplan dat de activiteiten beschrijft die nodig zijn om de software af te bouwen of te herbouwen en te onderhouden, en</w:t>
      </w:r>
    </w:p>
    <w:p>
      <w:pPr>
        <w:pStyle w:val="Lijstnummering1"/>
        <w:numPr>
          <w:ilvl w:val="0"/>
          <w:numId w:val="20"/>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levert in elke fase vastgestelde producten en informatie op</w:t>
      </w:r>
      <w:r>
        <w:t>.</w:t>
      </w:r>
    </w:p>
    <w:p>
      <w:r>
        <w:t>Om continu te bewaken dat het product aan de kwaliteitsnormen voldoet, voert het project de volgende activiteiten uit:</w:t>
      </w:r>
    </w:p>
    <w:p>
      <w:pPr>
        <w:pStyle w:val="Lijstnummering1"/>
        <w:numPr>
          <w:ilvl w:val="0"/>
          <w:numId w:val="21"/>
        </w:numPr>
      </w:pPr>
      <w:r>
        <w:t>Tijdens de voorfase: het project reviewt de deliverables periodiek.</w:t>
      </w:r>
    </w:p>
    <w:p>
      <w:pPr>
        <w:pStyle w:val="Lijstnummering1"/>
        <w:numPr>
          <w:ilvl w:val="0"/>
          <w:numId w:val="21"/>
        </w:numPr>
      </w:pPr>
      <w:r>
        <w:t>Tijdens de realisatiefase: het project bewaakt op dagelijkse basis en geautomatiseerd de kwaliteit van de software.</w:t>
      </w:r>
    </w:p>
    <w:p>
      <w:pPr>
        <w:pStyle w:val="Lijstnummering1"/>
        <w:numPr>
          <w:ilvl w:val="0"/>
          <w:numId w:val="21"/>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1"/>
        </w:numPr>
      </w:pPr>
      <w:r>
        <w:t>Tijdens de realisatiefase: het project evalueert periodiek en handmatig de kwaliteitseigenschappen van de software die niet geautomatiseerd kunnen worden gemeten.</w:t>
      </w:r>
    </w:p>
    <w:p>
      <w:pPr>
        <w:pStyle w:val="Lijstnummering1"/>
        <w:numPr>
          <w:ilvl w:val="0"/>
          <w:numId w:val="21"/>
        </w:numPr>
      </w:pPr>
      <w:r>
        <w:t>Tijdens de realisatiefase: het project actualiseert en reviewt periodiek de documentatie.</w:t>
      </w:r>
    </w:p>
    <w:p>
      <w:pPr>
        <w:pStyle w:val="Lijstnummering1"/>
        <w:numPr>
          <w:ilvl w:val="0"/>
          <w:numId w:val="21"/>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Ook zorgt het project dat de performance van de software regelmatig wordt getest.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M13: Het project gebruikt ISO-25010 voor de specificatie van productkwaliteitseisen</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r>
        <w:t>De standaard NEN-ISO/IEC 25010:2011, kortweg "ISO-25010", biedt een model voor het beschrijven van productkwaliteit. Kwaliteitseigenschappen zijn voorzien van een naam, definitie en classificatie. ISO-25010 dekt een breed spectrum van kwaliteitseigenschappen af.</w:t>
      </w:r>
    </w:p>
    <w:p>
      <w:pPr>
        <w:pStyle w:val="Kop3"/>
      </w:pPr>
      <w:r>
        <w:t>Rationale</w:t>
      </w:r>
    </w:p>
    <w:p>
      <w:r>
        <w:t>ISO-25010 biedt een model voor productkwaliteit. De standaard biedt geen concrete maatregelen, maar biedt wel een begrippenkader en dekt het volledige spectrum van mogelijk relevante kwaliteitseigenschappen af. Het gebruiken van een standaard voor specificatie van kwaliteit voorkomt miscommunicatie over kwaliteitseigenschappen en de breedte van de standaard zorgt ervoor dat alle relevante aspecten aan bod komen.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2"/>
        </w:numPr>
      </w:pPr>
      <w:r>
        <w:t>Bouw van de software,</w:t>
      </w:r>
    </w:p>
    <w:p>
      <w:pPr>
        <w:pStyle w:val="Lijstnummering1"/>
        <w:numPr>
          <w:ilvl w:val="0"/>
          <w:numId w:val="22"/>
        </w:numPr>
      </w:pPr>
      <w:r>
        <w:t>Unit tests,</w:t>
      </w:r>
    </w:p>
    <w:p>
      <w:pPr>
        <w:pStyle w:val="Lijstnummering1"/>
        <w:numPr>
          <w:ilvl w:val="0"/>
          <w:numId w:val="22"/>
        </w:numPr>
      </w:pPr>
      <w:r>
        <w:t>Regressietests,</w:t>
      </w:r>
    </w:p>
    <w:p>
      <w:pPr>
        <w:pStyle w:val="Lijstnummering1"/>
        <w:numPr>
          <w:ilvl w:val="0"/>
          <w:numId w:val="22"/>
        </w:numPr>
      </w:pPr>
      <w:r>
        <w:t>Beveiligingstests,</w:t>
      </w:r>
    </w:p>
    <w:p>
      <w:pPr>
        <w:pStyle w:val="Lijstnummering1"/>
        <w:numPr>
          <w:ilvl w:val="0"/>
          <w:numId w:val="22"/>
        </w:numPr>
      </w:pPr>
      <w:r>
        <w:t>Performancetests,</w:t>
      </w:r>
    </w:p>
    <w:p>
      <w:pPr>
        <w:pStyle w:val="Lijstnummering1"/>
        <w:numPr>
          <w:ilvl w:val="0"/>
          <w:numId w:val="22"/>
        </w:numPr>
      </w:pPr>
      <w:r>
        <w:t>Toegankelijkheidstests,</w:t>
      </w:r>
    </w:p>
    <w:p>
      <w:pPr>
        <w:pStyle w:val="Lijstnummering1"/>
        <w:numPr>
          <w:ilvl w:val="0"/>
          <w:numId w:val="22"/>
        </w:numPr>
      </w:pPr>
      <w:r>
        <w:t>Broncodekwaliteitscontroles,</w:t>
      </w:r>
    </w:p>
    <w:p>
      <w:pPr>
        <w:pStyle w:val="Lijstnummering1"/>
        <w:numPr>
          <w:ilvl w:val="0"/>
          <w:numId w:val="22"/>
        </w:numPr>
      </w:pPr>
      <w:r>
        <w:t>Installatie van de software in test, acceptatie en/of productieomgevingen,</w:t>
      </w:r>
    </w:p>
    <w:p>
      <w:pPr>
        <w:pStyle w:val="Lijstnummering1"/>
        <w:numPr>
          <w:ilvl w:val="0"/>
          <w:numId w:val="22"/>
        </w:numPr>
      </w:pPr>
      <w:r>
        <w:t>Produceren van een "software bill of materials" (SBoM),</w:t>
      </w:r>
    </w:p>
    <w:p>
      <w:pPr>
        <w:pStyle w:val="Lijstnummering1"/>
        <w:numPr>
          <w:ilvl w:val="0"/>
          <w:numId w:val="22"/>
        </w:numPr>
      </w:pPr>
      <w:r>
        <w:t>Oplevering van het totale product, dus inclusief alle deliverables, in de vorm zoals bruikbaar voor en afgesproken met de opdrachtgevende organisatie.</w:t>
      </w:r>
    </w:p>
    <w:p>
      <w:r>
        <w:t>Performance- en beveiligingstests zijn ook onderdeel van de continuous delivery pipeline, maar vanwege doorlooptijden en licenties is dat niet altijd haalbaar; in dat geval vinden de performance- en beveiligingstests zo veel mogelijk, en bij voorkeur dagelijks, plaats.</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r>
        <w:t>De afdeling ICTU Software Diensten (ISD) voorziet in tools en ondersteuning, zodat projecten deze pipeline kunnen toepassen. Projecten zijn verantwoordelijk voor de correcte werking van de pipeline.</w:t>
      </w:r>
    </w:p>
    <w:p>
      <w:r>
        <w:t>ICTU gebruikt Jenkins, GitLab CI of Azure DevOps als tool voor de implementatie van de continuous delivery pipeline. ISD biedt de projecten een voorziening om releases van het totale product veilig op te leveren aan opdrachtgevende organisaties en beheerorganisaties.</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3"/>
        </w:numPr>
      </w:pPr>
      <w:r>
        <w:t>backlog management en agile werken,</w:t>
      </w:r>
    </w:p>
    <w:p>
      <w:pPr>
        <w:pStyle w:val="Lijstnummering1"/>
        <w:numPr>
          <w:ilvl w:val="0"/>
          <w:numId w:val="23"/>
        </w:numPr>
      </w:pPr>
      <w:r>
        <w:t>inrichten en uitvoeren van een continuous delivery pipeline,</w:t>
      </w:r>
    </w:p>
    <w:p>
      <w:pPr>
        <w:pStyle w:val="Lijstnummering1"/>
        <w:numPr>
          <w:ilvl w:val="0"/>
          <w:numId w:val="23"/>
        </w:numPr>
      </w:pPr>
      <w:r>
        <w:t>monitoren van de kwaliteit van broncode,</w:t>
      </w:r>
    </w:p>
    <w:p>
      <w:pPr>
        <w:pStyle w:val="Lijstnummering1"/>
        <w:numPr>
          <w:ilvl w:val="0"/>
          <w:numId w:val="23"/>
        </w:numPr>
      </w:pPr>
      <w:r>
        <w:t>versiebeheer van op te leveren producten,</w:t>
      </w:r>
    </w:p>
    <w:p>
      <w:pPr>
        <w:pStyle w:val="Lijstnummering1"/>
        <w:numPr>
          <w:ilvl w:val="0"/>
          <w:numId w:val="23"/>
        </w:numPr>
      </w:pPr>
      <w:r>
        <w:t>release van software,</w:t>
      </w:r>
    </w:p>
    <w:p>
      <w:pPr>
        <w:pStyle w:val="Lijstnummering1"/>
        <w:numPr>
          <w:ilvl w:val="0"/>
          <w:numId w:val="23"/>
        </w:numPr>
      </w:pPr>
      <w:r>
        <w:t>maken van testrapportages,</w:t>
      </w:r>
    </w:p>
    <w:p>
      <w:pPr>
        <w:pStyle w:val="Lijstnummering1"/>
        <w:numPr>
          <w:ilvl w:val="0"/>
          <w:numId w:val="23"/>
        </w:numPr>
      </w:pPr>
      <w:r>
        <w:t>maken van kwaliteitsrapportages,</w:t>
      </w:r>
    </w:p>
    <w:p>
      <w:pPr>
        <w:pStyle w:val="Lijstnummering1"/>
        <w:numPr>
          <w:ilvl w:val="0"/>
          <w:numId w:val="23"/>
        </w:numPr>
      </w:pPr>
      <w:r>
        <w:t>controleren van de configuratie op aanwezigheid van bekende kwetsbaarheden,</w:t>
      </w:r>
    </w:p>
    <w:p>
      <w:pPr>
        <w:pStyle w:val="Lijstnummering1"/>
        <w:numPr>
          <w:ilvl w:val="0"/>
          <w:numId w:val="23"/>
        </w:numPr>
      </w:pPr>
      <w:r>
        <w:t>controleren van door de applicatie gebruikte versies van externe software op aanwezigheid van bekende kwetsbaarheden,</w:t>
      </w:r>
    </w:p>
    <w:p>
      <w:pPr>
        <w:pStyle w:val="Lijstnummering1"/>
        <w:numPr>
          <w:ilvl w:val="0"/>
          <w:numId w:val="23"/>
        </w:numPr>
      </w:pPr>
      <w:r>
        <w:t>statische controle van de software op aanwezigheid van kwetsbare constructies,</w:t>
      </w:r>
    </w:p>
    <w:p>
      <w:pPr>
        <w:pStyle w:val="Lijstnummering1"/>
        <w:numPr>
          <w:ilvl w:val="0"/>
          <w:numId w:val="23"/>
        </w:numPr>
      </w:pPr>
      <w:r>
        <w:t>dynamische controle van de software op aanwezigheid van kwetsbare constructies,</w:t>
      </w:r>
    </w:p>
    <w:p>
      <w:pPr>
        <w:pStyle w:val="Lijstnummering1"/>
        <w:numPr>
          <w:ilvl w:val="0"/>
          <w:numId w:val="23"/>
        </w:numPr>
      </w:pPr>
      <w:r>
        <w:t>controleren van container images op aanwezigheid van bekende kwetsbaarheden,</w:t>
      </w:r>
    </w:p>
    <w:p>
      <w:pPr>
        <w:pStyle w:val="Lijstnummering1"/>
        <w:numPr>
          <w:ilvl w:val="0"/>
          <w:numId w:val="23"/>
        </w:numPr>
      </w:pPr>
      <w:r>
        <w:t>testen van performance en schaalbaarheid,</w:t>
      </w:r>
    </w:p>
    <w:p>
      <w:pPr>
        <w:pStyle w:val="Lijstnummering1"/>
        <w:numPr>
          <w:ilvl w:val="0"/>
          <w:numId w:val="23"/>
        </w:numPr>
      </w:pPr>
      <w:r>
        <w:t>testen op toegankelijkheid van de applicatie,</w:t>
      </w:r>
    </w:p>
    <w:p>
      <w:pPr>
        <w:pStyle w:val="Lijstnummering1"/>
        <w:numPr>
          <w:ilvl w:val="0"/>
          <w:numId w:val="23"/>
        </w:numPr>
      </w:pPr>
      <w:r>
        <w:t>produceren van een "software bill of materials" (SBoM),</w:t>
      </w:r>
    </w:p>
    <w:p>
      <w:pPr>
        <w:pStyle w:val="Lijstnummering1"/>
        <w:numPr>
          <w:ilvl w:val="0"/>
          <w:numId w:val="23"/>
        </w:numPr>
      </w:pPr>
      <w:r>
        <w:t>opslaan van artifacten,</w:t>
      </w:r>
    </w:p>
    <w:p>
      <w:pPr>
        <w:pStyle w:val="Lijstnummering1"/>
        <w:numPr>
          <w:ilvl w:val="0"/>
          <w:numId w:val="23"/>
        </w:numPr>
      </w:pPr>
      <w:r>
        <w:t>registratie van incidenten bij gebruik en beheer, en</w:t>
      </w:r>
    </w:p>
    <w:p>
      <w:pPr>
        <w:pStyle w:val="Lijstnummering1"/>
        <w:numPr>
          <w:ilvl w:val="0"/>
          <w:numId w:val="23"/>
        </w:numPr>
      </w:pPr>
      <w:r>
        <w:t>bij het uitvoeren van operationeel beheer; uitrollen van de software in de productieomgeving.</w:t>
      </w:r>
    </w:p>
    <w:p>
      <w:r>
        <w:t>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backlog en de iteraties als sprints.</w:t>
      </w:r>
    </w:p>
    <w:p>
      <w:r>
        <w:t>ICTU adviseert en ondersteunt voor de genoemde taken onderstaande tools. Projecten gebruiken deze tools, of gelijkwaardige alternatieven:</w:t>
      </w:r>
    </w:p>
    <w:p>
      <w:pPr>
        <w:pStyle w:val="Lijstnummering1"/>
        <w:numPr>
          <w:ilvl w:val="0"/>
          <w:numId w:val="24"/>
        </w:numPr>
      </w:pPr>
      <w:r>
        <w:t>backlog management en agile werken: Azure DevOps of Jira,</w:t>
      </w:r>
    </w:p>
    <w:p>
      <w:pPr>
        <w:pStyle w:val="Lijstnummering1"/>
        <w:numPr>
          <w:ilvl w:val="0"/>
          <w:numId w:val="24"/>
        </w:numPr>
      </w:pPr>
      <w:r>
        <w:t>inrichten en uitvoeren van een continuous delivery pipeline: Jenkins, GitLab CI/CD (Continuous Integration, Delivery, and Deployment) of Azure DevOps,</w:t>
      </w:r>
    </w:p>
    <w:p>
      <w:pPr>
        <w:pStyle w:val="Lijstnummering1"/>
        <w:numPr>
          <w:ilvl w:val="0"/>
          <w:numId w:val="24"/>
        </w:numPr>
      </w:pPr>
      <w:r>
        <w:t>monitoren van de kwaliteit van broncode: SonarQube,</w:t>
      </w:r>
    </w:p>
    <w:p>
      <w:pPr>
        <w:pStyle w:val="Lijstnummering1"/>
        <w:numPr>
          <w:ilvl w:val="0"/>
          <w:numId w:val="24"/>
        </w:numPr>
      </w:pPr>
      <w:r>
        <w:t>versiebeheer van op te leveren producten: GitLab of Azure DevOps,</w:t>
      </w:r>
    </w:p>
    <w:p>
      <w:pPr>
        <w:pStyle w:val="Lijstnummering1"/>
        <w:numPr>
          <w:ilvl w:val="0"/>
          <w:numId w:val="24"/>
        </w:numPr>
      </w:pPr>
      <w:r>
        <w:t>release van software: Releaseserver in het ontwikkelplatform,</w:t>
      </w:r>
    </w:p>
    <w:p>
      <w:pPr>
        <w:pStyle w:val="Lijstnummering1"/>
        <w:numPr>
          <w:ilvl w:val="0"/>
          <w:numId w:val="24"/>
        </w:numPr>
      </w:pPr>
      <w:r>
        <w:t>maken van testrapportages: JUnit, Robot Framework, TestNG, of hiermee compatible tools,</w:t>
      </w:r>
    </w:p>
    <w:p>
      <w:pPr>
        <w:pStyle w:val="Lijstnummering1"/>
        <w:numPr>
          <w:ilvl w:val="0"/>
          <w:numId w:val="24"/>
        </w:numPr>
      </w:pPr>
      <w:r>
        <w:t>maken van kwaliteitsrapportages: Quality-time,</w:t>
      </w:r>
    </w:p>
    <w:p>
      <w:pPr>
        <w:pStyle w:val="Lijstnummering1"/>
        <w:numPr>
          <w:ilvl w:val="0"/>
          <w:numId w:val="24"/>
        </w:numPr>
      </w:pPr>
      <w:r>
        <w:t>controleren van de configuratie op aanwezigheid van bekende kwetsbaarheden in configuratie: OpenVAS (Vulnerability Assessment System),</w:t>
      </w:r>
    </w:p>
    <w:p>
      <w:pPr>
        <w:pStyle w:val="Lijstnummering1"/>
        <w:numPr>
          <w:ilvl w:val="0"/>
          <w:numId w:val="24"/>
        </w:numPr>
      </w:pPr>
      <w:r>
        <w:t>controleren op aanwezigheid van bekende kwetsbaarheden in externe software: OWASP (Open Web Application Security Project) Dependency-Check en/of Dependency-Track,</w:t>
      </w:r>
    </w:p>
    <w:p>
      <w:pPr>
        <w:pStyle w:val="Lijstnummering1"/>
        <w:numPr>
          <w:ilvl w:val="0"/>
          <w:numId w:val="24"/>
        </w:numPr>
      </w:pPr>
      <w:r>
        <w:t>statische controle van de software op aanwezigheid van kwetsbare constructies: SonarQube,</w:t>
      </w:r>
    </w:p>
    <w:p>
      <w:pPr>
        <w:pStyle w:val="Lijstnummering1"/>
        <w:numPr>
          <w:ilvl w:val="0"/>
          <w:numId w:val="24"/>
        </w:numPr>
      </w:pPr>
      <w:r>
        <w:t>dynamische controle van de software op aanwezigheid van kwetsbare constructies: ZAP (Zed Attack Proxy) by Checkmarx,</w:t>
      </w:r>
    </w:p>
    <w:p>
      <w:pPr>
        <w:pStyle w:val="Lijstnummering1"/>
        <w:numPr>
          <w:ilvl w:val="0"/>
          <w:numId w:val="24"/>
        </w:numPr>
      </w:pPr>
      <w:r>
        <w:t>controleren van container images op aanwezigheid van bekende kwetsbaarheden: Trivy,</w:t>
      </w:r>
    </w:p>
    <w:p>
      <w:pPr>
        <w:pStyle w:val="Lijstnummering1"/>
        <w:numPr>
          <w:ilvl w:val="0"/>
          <w:numId w:val="24"/>
        </w:numPr>
      </w:pPr>
      <w:r>
        <w:t>testen van performance en schaalbaarheid: JMeter en Performancetestrunner,</w:t>
      </w:r>
    </w:p>
    <w:p>
      <w:pPr>
        <w:pStyle w:val="Lijstnummering1"/>
        <w:numPr>
          <w:ilvl w:val="0"/>
          <w:numId w:val="24"/>
        </w:numPr>
      </w:pPr>
      <w:r>
        <w:t>testen op toegankelijkheid van de applicatie: Axe,</w:t>
      </w:r>
    </w:p>
    <w:p>
      <w:pPr>
        <w:pStyle w:val="Lijstnummering1"/>
        <w:numPr>
          <w:ilvl w:val="0"/>
          <w:numId w:val="24"/>
        </w:numPr>
      </w:pPr>
      <w:r>
        <w:t>produceren van een "software bill of materials" (SBoM): tools die een SBoM in CycloneDX-formaat (zie https://cyclonedx.org) genereren,</w:t>
      </w:r>
    </w:p>
    <w:p>
      <w:pPr>
        <w:pStyle w:val="Lijstnummering1"/>
        <w:numPr>
          <w:ilvl w:val="0"/>
          <w:numId w:val="24"/>
        </w:numPr>
      </w:pPr>
      <w:r>
        <w:t>opslaan van artifacten: Nexus of Harbor,</w:t>
      </w:r>
    </w:p>
    <w:p>
      <w:pPr>
        <w:pStyle w:val="Lijstnummering1"/>
        <w:numPr>
          <w:ilvl w:val="0"/>
          <w:numId w:val="24"/>
        </w:numPr>
      </w:pPr>
      <w:r>
        <w:t>registratie van incidenten bij gebruik en beheer: Jira, en</w:t>
      </w:r>
    </w:p>
    <w:p>
      <w:pPr>
        <w:pStyle w:val="Lijstnummering1"/>
        <w:numPr>
          <w:ilvl w:val="0"/>
          <w:numId w:val="24"/>
        </w:numPr>
      </w:pPr>
      <w:r>
        <w:t>bij het uitvoeren van operationeel beheer; uitrollen van de software in de productieomgeving: Ansible.</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backlog van het project.</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De opdrachtgever organiseert de betrokkenheid van vertegenwoordigers en zorgt dat zij voldoende tijd en mandaat hebben om hun rol goed in te vullen. Bij voorkeur zijn dezelfde vertegenwoordigers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levert in elke fase vastgestelde producten en informatie op</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ervaring met de Kwaliteitsaanpak</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5"/>
        </w:numPr>
      </w:pPr>
      <w:r>
        <w:t>Scrumteam bestaand uit product owner, ontwikkelaars (zoals programmeurs, testers en ontwerpers) en Scrummaster,</w:t>
      </w:r>
    </w:p>
    <w:p>
      <w:pPr>
        <w:pStyle w:val="Lijstnummering1"/>
        <w:numPr>
          <w:ilvl w:val="0"/>
          <w:numId w:val="25"/>
        </w:numPr>
      </w:pPr>
      <w:r>
        <w:t>Proces met daily scrum, sprints, sprint planning, sprint review, sprint retrospective en sprint refinement,</w:t>
      </w:r>
    </w:p>
    <w:p>
      <w:pPr>
        <w:pStyle w:val="Lijstnummering1"/>
        <w:numPr>
          <w:ilvl w:val="0"/>
          <w:numId w:val="25"/>
        </w:numPr>
      </w:pPr>
      <w:r>
        <w:t>Definition of Ready en Definition of Done,</w:t>
      </w:r>
    </w:p>
    <w:p>
      <w:pPr>
        <w:pStyle w:val="Lijstnummering1"/>
        <w:numPr>
          <w:ilvl w:val="0"/>
          <w:numId w:val="25"/>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4">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6"/>
        </w:numPr>
      </w:pPr>
      <w:r>
        <w:t>De documentatie beschrijft de ontwikkel- en testomgeving die is toegepast (5.1),</w:t>
      </w:r>
    </w:p>
    <w:p>
      <w:pPr>
        <w:pStyle w:val="Lijstnummering1"/>
        <w:numPr>
          <w:ilvl w:val="0"/>
          <w:numId w:val="26"/>
        </w:numPr>
      </w:pPr>
      <w:r>
        <w:t>De functionele documentatie beschrijft gegevensmodellen, functionele indeling, koppelingen, berichtdefinities en workflows/processen (5.2),</w:t>
      </w:r>
    </w:p>
    <w:p>
      <w:pPr>
        <w:pStyle w:val="Lijstnummering1"/>
        <w:numPr>
          <w:ilvl w:val="0"/>
          <w:numId w:val="26"/>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6"/>
        </w:numPr>
      </w:pPr>
      <w:r>
        <w:t>De productbacklog bevat de bekende bugs en wensen (5.4),</w:t>
      </w:r>
    </w:p>
    <w:p>
      <w:pPr>
        <w:pStyle w:val="Lijstnummering1"/>
        <w:numPr>
          <w:ilvl w:val="0"/>
          <w:numId w:val="26"/>
        </w:numPr>
      </w:pPr>
      <w:r>
        <w:t>De broncode kent een gezonde balans tussen isolatie, cohesie en koppeling (6.1),</w:t>
      </w:r>
    </w:p>
    <w:p>
      <w:pPr>
        <w:pStyle w:val="Lijstnummering1"/>
        <w:numPr>
          <w:ilvl w:val="0"/>
          <w:numId w:val="26"/>
        </w:numPr>
      </w:pPr>
      <w:r>
        <w:t>De broncode heeft een beperkte mate van duplicatie (6.2),</w:t>
      </w:r>
    </w:p>
    <w:p>
      <w:pPr>
        <w:pStyle w:val="Lijstnummering1"/>
        <w:numPr>
          <w:ilvl w:val="0"/>
          <w:numId w:val="26"/>
        </w:numPr>
      </w:pPr>
      <w:r>
        <w:t>De broncode heeft een beperkte mate van complexiteit (6.3),</w:t>
      </w:r>
    </w:p>
    <w:p>
      <w:pPr>
        <w:pStyle w:val="Lijstnummering1"/>
        <w:numPr>
          <w:ilvl w:val="0"/>
          <w:numId w:val="26"/>
        </w:numPr>
      </w:pPr>
      <w:r>
        <w:t>De broncode bevat geen of een beperkt aantal niet-afgeronde werkzaamheden ("todo's") (6.4).</w:t>
      </w:r>
    </w:p>
    <w:p>
      <w:pPr>
        <w:pStyle w:val="Lijstnummering1"/>
        <w:numPr>
          <w:ilvl w:val="0"/>
          <w:numId w:val="26"/>
        </w:numPr>
      </w:pPr>
      <w:r>
        <w:t>De tests raken een voldoende groot deel van de broncode (code dekking) (7.1),</w:t>
      </w:r>
    </w:p>
    <w:p>
      <w:pPr>
        <w:pStyle w:val="Lijstnummering1"/>
        <w:numPr>
          <w:ilvl w:val="0"/>
          <w:numId w:val="26"/>
        </w:numPr>
      </w:pPr>
      <w:r>
        <w:t>De tests raken een voldoende groot deel van de functionaliteit (functionele dekking) (7.2),</w:t>
      </w:r>
    </w:p>
    <w:p>
      <w:pPr>
        <w:pStyle w:val="Lijstnummering1"/>
        <w:numPr>
          <w:ilvl w:val="0"/>
          <w:numId w:val="26"/>
        </w:numPr>
      </w:pPr>
      <w:r>
        <w:t>De onderkende productrisico's zijn gedekt (7.3),</w:t>
      </w:r>
    </w:p>
    <w:p>
      <w:pPr>
        <w:pStyle w:val="Lijstnummering1"/>
        <w:numPr>
          <w:ilvl w:val="0"/>
          <w:numId w:val="26"/>
        </w:numPr>
      </w:pPr>
      <w:r>
        <w:t>Er is een regressietest beschikbaar (7.4),</w:t>
      </w:r>
    </w:p>
    <w:p>
      <w:pPr>
        <w:pStyle w:val="Lijstnummering1"/>
        <w:numPr>
          <w:ilvl w:val="0"/>
          <w:numId w:val="26"/>
        </w:numPr>
      </w:pPr>
      <w:r>
        <w:t>Er is traceerbaarheid van eisen naar testgevallen (7.5), en</w:t>
      </w:r>
    </w:p>
    <w:p>
      <w:pPr>
        <w:pStyle w:val="Lijstnummering1"/>
        <w:numPr>
          <w:ilvl w:val="0"/>
          <w:numId w:val="26"/>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bij </w:t>
      </w:r>
      <w:r>
        <w:t>M16: Het project gebruikt tools voor vastgestelde taken</w:t>
      </w:r>
      <w:r>
        <w:t xml:space="preserve"> verplicht gestelde tools. Een team van specialisten met kennis, ervaring en capaciteit is beschikbaar voor ondersteuning aan projecten.</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5">
        <w:r>
          <w:rPr>
            <w:rStyle w:val="Hyperlink"/>
          </w:rPr>
          <w:t>Beleid open standaarden</w:t>
        </w:r>
      </w:hyperlink>
      <w:r>
        <w:t>". De voorkeur voor het open source beschikbaar stellen van eigen ontwikkelde tools is conform de "</w:t>
      </w:r>
      <w:hyperlink r:id="rId36">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7">
              <w:r>
                <w:rPr>
                  <w:rStyle w:val="Hyperlink"/>
                </w:rPr>
                <w:t>BIO</w:t>
              </w:r>
            </w:hyperlink>
          </w:p>
        </w:tc>
        <w:tc>
          <w:tcPr>
            <w:tcW w:type="auto" w:w="4535"/>
          </w:tcPr>
          <w:p>
            <w:pPr>
              <w:jc w:val="left"/>
            </w:pPr>
            <w:r>
              <w:t>Baseline Informatiebeveiliging Overheid.</w:t>
            </w:r>
          </w:p>
        </w:tc>
      </w:tr>
      <w:tr>
        <w:tc>
          <w:tcPr>
            <w:tcW w:type="auto" w:w="4535"/>
          </w:tcPr>
          <w:p>
            <w:pPr>
              <w:jc w:val="left"/>
            </w:pPr>
            <w:hyperlink r:id="rId3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0">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3">
              <w:r>
                <w:rPr>
                  <w:rStyle w:val="Hyperlink"/>
                </w:rPr>
                <w:t>NEN 7510:2017</w:t>
              </w:r>
            </w:hyperlink>
          </w:p>
        </w:tc>
        <w:tc>
          <w:tcPr>
            <w:tcW w:type="auto" w:w="4535"/>
          </w:tcPr>
          <w:p>
            <w:pPr>
              <w:jc w:val="left"/>
            </w:pPr>
            <w:r>
              <w:t>Informatiebeveiliging in de zorg.</w:t>
            </w:r>
          </w:p>
        </w:tc>
      </w:tr>
      <w:tr>
        <w:tc>
          <w:tcPr>
            <w:tcW w:type="auto" w:w="4535"/>
          </w:tcPr>
          <w:p>
            <w:pPr>
              <w:jc w:val="left"/>
            </w:pPr>
            <w:hyperlink r:id="rId4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7"/>
        </w:numPr>
      </w:pPr>
      <w:r>
        <w:t>backlog management en agile werken,</w:t>
      </w:r>
    </w:p>
    <w:p>
      <w:pPr>
        <w:pStyle w:val="Lijstnummering1"/>
        <w:numPr>
          <w:ilvl w:val="0"/>
          <w:numId w:val="27"/>
        </w:numPr>
      </w:pPr>
      <w:r>
        <w:t>inrichten en uitvoeren van een continuous delivery pipeline,</w:t>
      </w:r>
    </w:p>
    <w:p>
      <w:pPr>
        <w:pStyle w:val="Lijstnummering1"/>
        <w:numPr>
          <w:ilvl w:val="0"/>
          <w:numId w:val="27"/>
        </w:numPr>
      </w:pPr>
      <w:r>
        <w:t>monitoren van de kwaliteit van broncode,</w:t>
      </w:r>
    </w:p>
    <w:p>
      <w:pPr>
        <w:pStyle w:val="Lijstnummering1"/>
        <w:numPr>
          <w:ilvl w:val="0"/>
          <w:numId w:val="27"/>
        </w:numPr>
      </w:pPr>
      <w:r>
        <w:t>versiebeheer van op te leveren producten,</w:t>
      </w:r>
    </w:p>
    <w:p>
      <w:pPr>
        <w:pStyle w:val="Lijstnummering1"/>
        <w:numPr>
          <w:ilvl w:val="0"/>
          <w:numId w:val="27"/>
        </w:numPr>
      </w:pPr>
      <w:r>
        <w:t>release van software,</w:t>
      </w:r>
    </w:p>
    <w:p>
      <w:pPr>
        <w:pStyle w:val="Lijstnummering1"/>
        <w:numPr>
          <w:ilvl w:val="0"/>
          <w:numId w:val="27"/>
        </w:numPr>
      </w:pPr>
      <w:r>
        <w:t>maken van testrapportages,</w:t>
      </w:r>
    </w:p>
    <w:p>
      <w:pPr>
        <w:pStyle w:val="Lijstnummering1"/>
        <w:numPr>
          <w:ilvl w:val="0"/>
          <w:numId w:val="27"/>
        </w:numPr>
      </w:pPr>
      <w:r>
        <w:t>maken van kwaliteitsrapportages,</w:t>
      </w:r>
    </w:p>
    <w:p>
      <w:pPr>
        <w:pStyle w:val="Lijstnummering1"/>
        <w:numPr>
          <w:ilvl w:val="0"/>
          <w:numId w:val="27"/>
        </w:numPr>
      </w:pPr>
      <w:r>
        <w:t>controleren van de configuratie op aanwezigheid van bekende kwetsbaarheden,</w:t>
      </w:r>
    </w:p>
    <w:p>
      <w:pPr>
        <w:pStyle w:val="Lijstnummering1"/>
        <w:numPr>
          <w:ilvl w:val="0"/>
          <w:numId w:val="27"/>
        </w:numPr>
      </w:pPr>
      <w:r>
        <w:t>controleren van door de applicatie gebruikte versies van externe software op aanwezigheid van bekende kwetsbaarheden,</w:t>
      </w:r>
    </w:p>
    <w:p>
      <w:pPr>
        <w:pStyle w:val="Lijstnummering1"/>
        <w:numPr>
          <w:ilvl w:val="0"/>
          <w:numId w:val="27"/>
        </w:numPr>
      </w:pPr>
      <w:r>
        <w:t>statische controle van de software op aanwezigheid van kwetsbare constructies,</w:t>
      </w:r>
    </w:p>
    <w:p>
      <w:pPr>
        <w:pStyle w:val="Lijstnummering1"/>
        <w:numPr>
          <w:ilvl w:val="0"/>
          <w:numId w:val="27"/>
        </w:numPr>
      </w:pPr>
      <w:r>
        <w:t>dynamische controle van de software op aanwezigheid van kwetsbare constructies,</w:t>
      </w:r>
    </w:p>
    <w:p>
      <w:pPr>
        <w:pStyle w:val="Lijstnummering1"/>
        <w:numPr>
          <w:ilvl w:val="0"/>
          <w:numId w:val="27"/>
        </w:numPr>
      </w:pPr>
      <w:r>
        <w:t>controleren van container images op aanwezigheid van bekende kwetsbaarheden,</w:t>
      </w:r>
    </w:p>
    <w:p>
      <w:pPr>
        <w:pStyle w:val="Lijstnummering1"/>
        <w:numPr>
          <w:ilvl w:val="0"/>
          <w:numId w:val="27"/>
        </w:numPr>
      </w:pPr>
      <w:r>
        <w:t>testen van performance en schaalbaarheid,</w:t>
      </w:r>
    </w:p>
    <w:p>
      <w:pPr>
        <w:pStyle w:val="Lijstnummering1"/>
        <w:numPr>
          <w:ilvl w:val="0"/>
          <w:numId w:val="27"/>
        </w:numPr>
      </w:pPr>
      <w:r>
        <w:t>testen op toegankelijkheid van de applicatie,</w:t>
      </w:r>
    </w:p>
    <w:p>
      <w:pPr>
        <w:pStyle w:val="Lijstnummering1"/>
        <w:numPr>
          <w:ilvl w:val="0"/>
          <w:numId w:val="27"/>
        </w:numPr>
      </w:pPr>
      <w:r>
        <w:t>produceren van een "software bill of materials" (SBoM),</w:t>
      </w:r>
    </w:p>
    <w:p>
      <w:pPr>
        <w:pStyle w:val="Lijstnummering1"/>
        <w:numPr>
          <w:ilvl w:val="0"/>
          <w:numId w:val="27"/>
        </w:numPr>
      </w:pPr>
      <w:r>
        <w:t>opslaan van artifacten,</w:t>
      </w:r>
    </w:p>
    <w:p>
      <w:pPr>
        <w:pStyle w:val="Lijstnummering1"/>
        <w:numPr>
          <w:ilvl w:val="0"/>
          <w:numId w:val="27"/>
        </w:numPr>
      </w:pPr>
      <w:r>
        <w:t>registratie van incidenten bij gebruik en beheer, en</w:t>
      </w:r>
    </w:p>
    <w:p>
      <w:pPr>
        <w:pStyle w:val="Lijstnummering1"/>
        <w:numPr>
          <w:ilvl w:val="0"/>
          <w:numId w:val="27"/>
        </w:numPr>
      </w:pPr>
      <w:r>
        <w:t>bij het uitvoeren van operationeel beheer; uitrollen van de software in de productieomgeving.</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levert in elke fase vastgestelde producten en informatie op</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levert in elke fase vastgestelde producten en informatie op</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levert in elke fase vastgestelde producten en informatie op</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levert in elke fase vastgestelde producten en informatie op</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backlog informatie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v4.1.0/ICTU-Kwaliteitsaanpak-Wijzigingsgeschiedenis.pdf" TargetMode="External"/><Relationship Id="rId17" Type="http://schemas.openxmlformats.org/officeDocument/2006/relationships/hyperlink" Target="https://ictu.github.io/Kwaliteitsaanpak/v4.1.0/ICTU-Kwaliteitsaanpak-Wijzigingsgeschiedenis.html" TargetMode="External"/><Relationship Id="rId18" Type="http://schemas.openxmlformats.org/officeDocument/2006/relationships/hyperlink" Target="https://ictu.github.io/Kwaliteitsaanpak/v4.1.0/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v4.1.0/ICTU-Template-Plan-van-Aanpak-Voorfase.docx" TargetMode="External"/><Relationship Id="rId22" Type="http://schemas.openxmlformats.org/officeDocument/2006/relationships/hyperlink" Target="https://ictu.github.io/Kwaliteitsaanpak/v4.1.0/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v4.1.0/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v4.1.0/ICTU-Template-Globaal-Functioneel-Ontwerp.docx" TargetMode="External"/><Relationship Id="rId28" Type="http://schemas.openxmlformats.org/officeDocument/2006/relationships/hyperlink" Target="https://ictu.github.io/Kwaliteitsaanpak/v4.1.0/ICTU-Template-Software-architectuurdocument.docx" TargetMode="External"/><Relationship Id="rId29" Type="http://schemas.openxmlformats.org/officeDocument/2006/relationships/hyperlink" Target="https://ictu.github.io/Kwaliteitsaanpak/v4.1.0/Neutraal-Template-Infrastructuurarchitectuur.docx" TargetMode="External"/><Relationship Id="rId30" Type="http://schemas.openxmlformats.org/officeDocument/2006/relationships/hyperlink" Target="https://ictu.github.io/Kwaliteitsaanpak/v4.1.0/Neutraal-Template-Mastertestplan.docx" TargetMode="External"/><Relationship Id="rId31" Type="http://schemas.openxmlformats.org/officeDocument/2006/relationships/hyperlink" Target="https://ictu.github.io/Kwaliteitsaanpak/v4.1.0/ICTU-Template-Detailtestplan-Softwarerealisatie.docx" TargetMode="External"/><Relationship Id="rId32" Type="http://schemas.openxmlformats.org/officeDocument/2006/relationships/hyperlink" Target="https://ictu.github.io/Kwaliteitsaanpak/v4.1.0/ICTU-Template-Kwaliteitsplan.docx" TargetMode="External"/><Relationship Id="rId33" Type="http://schemas.openxmlformats.org/officeDocument/2006/relationships/image" Target="media/image3.png"/><Relationship Id="rId34" Type="http://schemas.openxmlformats.org/officeDocument/2006/relationships/hyperlink" Target="https://ictu.github.io/Kwaliteitsaanpak/v4.1.0/ICTU-Kwaliteitsaanpak-Checklist.xlsx" TargetMode="External"/><Relationship Id="rId35" Type="http://schemas.openxmlformats.org/officeDocument/2006/relationships/hyperlink" Target="https://www.noraonline.nl/wiki/Beleid_open_standaarden" TargetMode="External"/><Relationship Id="rId36" Type="http://schemas.openxmlformats.org/officeDocument/2006/relationships/hyperlink" Target="https://www.rijksoverheid.nl/documenten/kamerstukken/2020/04/17/kamerbrief-inzake-vrijgeven-broncode-overheidssoftware" TargetMode="External"/><Relationship Id="rId37" Type="http://schemas.openxmlformats.org/officeDocument/2006/relationships/hyperlink" Target="https://bio-overheid.nl/media/1572/bio-versie-104zv_def.pdf" TargetMode="External"/><Relationship Id="rId38" Type="http://schemas.openxmlformats.org/officeDocument/2006/relationships/hyperlink" Target="https://www.iso.org/standard/77520.html" TargetMode="External"/><Relationship Id="rId39" Type="http://schemas.openxmlformats.org/officeDocument/2006/relationships/hyperlink" Target="https://www.ncsc.nl/documenten/publicaties/2019/mei/01/ict-beveiligingsrichtlijnen-voor-webapplicaties" TargetMode="External"/><Relationship Id="rId40" Type="http://schemas.openxmlformats.org/officeDocument/2006/relationships/hyperlink" Target="https://www.nen.nl/nen-iso-iec-25010-2011-en-157265" TargetMode="External"/><Relationship Id="rId41" Type="http://schemas.openxmlformats.org/officeDocument/2006/relationships/hyperlink" Target="https://www.nen.nl/nen-en-iso-iec-27001-2017-a11-2020-nl-265545" TargetMode="External"/><Relationship Id="rId42" Type="http://schemas.openxmlformats.org/officeDocument/2006/relationships/hyperlink" Target="https://www.nen.nl/nen-en-iso-iec-27002-2017-nl-245390" TargetMode="External"/><Relationship Id="rId43" Type="http://schemas.openxmlformats.org/officeDocument/2006/relationships/hyperlink" Target="https://www.nen.nl/nen-7510-1-2017-a1-2020-nl-267179" TargetMode="External"/><Relationship Id="rId44" Type="http://schemas.openxmlformats.org/officeDocument/2006/relationships/hyperlink" Target="https://www.nen.nl/npr-5325-2017-nl-238298" TargetMode="External"/><Relationship Id="rId45" Type="http://schemas.openxmlformats.org/officeDocument/2006/relationships/hyperlink" Target="https://www.nen.nl/npr-5326-2019-nl-262885" TargetMode="External"/><Relationship Id="rId46" Type="http://schemas.openxmlformats.org/officeDocument/2006/relationships/hyperlink" Target="https://www.noraonline.nl" TargetMode="External"/><Relationship Id="rId47" Type="http://schemas.openxmlformats.org/officeDocument/2006/relationships/hyperlink" Target="https://owasp.org/www-project-top-ten/" TargetMode="External"/><Relationship Id="rId48" Type="http://schemas.openxmlformats.org/officeDocument/2006/relationships/hyperlink" Target="https://scrumguides.org/docs/scrumguide/v2020/2020-Scrum-Guide-Dutch.pdf" TargetMode="External"/><Relationship Id="rId49" Type="http://schemas.openxmlformats.org/officeDocument/2006/relationships/hyperlink" Target="https://wetten.overheid.nl/BWBR0022141/2007-07-01" TargetMode="External"/><Relationship Id="rId50" Type="http://schemas.openxmlformats.org/officeDocument/2006/relationships/hyperlink" Target="https://wetten.overheid.nl/BWBR0033507/2013-06-01" TargetMode="External"/><Relationship Id="rId51"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