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High-Level Design</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4.1.0, 17-01-2025</w:t>
      </w:r>
    </w:p>
    <w:p>
      <w:r>
        <w:t xml:space="preserve">Verbeterpunten t.a.v. deze template graag melden via </w:t>
      </w:r>
      <w:hyperlink r:id="rId13">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t xml:space="preserve">De infrastructuurarchitectuur (IA) heeft als doel om een globaal overzicht te geven van de technische infrastructuur van </w:t>
      </w:r>
      <w:r>
        <w:rPr>
          <w:color w:val="000000"/>
          <w:highlight w:val="yellow"/>
        </w:rPr>
        <w:t>{het product}</w:t>
      </w:r>
      <w:r>
        <w:t xml:space="preserve">. Hierbij is er vanuit gegaan dat de oplossing ten minste </w:t>
      </w:r>
      <w:r>
        <w:rPr>
          <w:color w:val="000000"/>
          <w:highlight w:val="yellow"/>
        </w:rPr>
        <w:t>{aantal}</w:t>
      </w:r>
      <w:r>
        <w:t xml:space="preserve"> jaar conform specificaties kan functioneren. In de praktijk is een kortere of langere periode mogelijk.</w:t>
      </w:r>
    </w:p>
    <w:p>
      <w:r>
        <w:t>Onder infrastructuur wordt verstaan het samenstel van alle generieke off-the-shelf ICT-componenten die nodig zijn om de applicatie te kunnen installeren, operationeel te maken en houden. De infrastructuur eindigt daar waar specifieke elementen (code) en applicatiespecifieke configuraties ontstaan. Concreet omvat de infrastructuur:</w:t>
      </w:r>
    </w:p>
    <w:p>
      <w:pPr>
        <w:pStyle w:val="Lijstopsomteken1"/>
        <w:numPr>
          <w:ilvl w:val="0"/>
        </w:numPr>
      </w:pPr>
      <w:r>
        <w:t>Housing (locatie, gebouw, racks, stroom, koeling, bekabeling, brandbeveiliging, etc.),</w:t>
      </w:r>
    </w:p>
    <w:p>
      <w:pPr>
        <w:pStyle w:val="Lijstopsomteken1"/>
        <w:numPr>
          <w:ilvl w:val="0"/>
        </w:numPr>
      </w:pPr>
      <w:r>
        <w:t>Hardware (harddisk, SAN, servers, netwerkswitches, proxy’s, load balancers, HSMs, etc.),</w:t>
      </w:r>
    </w:p>
    <w:p>
      <w:pPr>
        <w:pStyle w:val="Lijstopsomteken1"/>
        <w:numPr>
          <w:ilvl w:val="0"/>
        </w:numPr>
      </w:pPr>
      <w:r>
        <w:t>Virtuals (virtual cpu, virtual memory, virtual disk, virtual servers, virtual network, etc.),</w:t>
      </w:r>
    </w:p>
    <w:p>
      <w:pPr>
        <w:pStyle w:val="Lijstopsomteken1"/>
        <w:numPr>
          <w:ilvl w:val="0"/>
        </w:numPr>
      </w:pPr>
      <w:r>
        <w:t>Standaardsoftware/middleware (operating system, webserver, applicatieserver, databaseserver, messaging- en ontwikkelplatform, etc.).</w:t>
      </w:r>
    </w:p>
    <w:p>
      <w:r>
        <w:t>Dit document beschrijft de lagen van de hardware en virtuals op het niveau van globale settings, netwerkarchitectuur en guidelines. Er zal dus niet op technisch detailniveau worden ingegaan op instellingen van routers, firewalls, virtualisatie en (virtuele) servers.</w:t>
      </w:r>
    </w:p>
    <w:p>
      <w:r>
        <w:t>Waar in dit document gesproken wordt van infrastructuurarchitectuur (IA) mag ook high level design (HLD) gelezen worden.</w:t>
      </w:r>
    </w:p>
    <w:p>
      <w:pPr>
        <w:pStyle w:val="Kop2"/>
      </w:pPr>
      <w:r>
        <w:t>Doelgroep</w:t>
      </w:r>
    </w:p>
    <w:p>
      <w:r>
        <w:t>De doelgroep van het opgestelde infrastructuurarchitectuur (IA) zijn de partijen betrokken bij of verantwoordelijk voor de daadwerkelijke realisatie van de infrastructuur en de partijen betrokken bij de softwareontwikkeling, aangezien de software op die infrastructuur zal moeten draaien.</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{Toepassing OTAP-omgevingen. NB. Er kan sprake zijn van additionele O-, T- en A-omgevingen, maar ook van omgevingen als pre-productie- en experimenteeromgevingen.}</w:t>
            </w:r>
          </w:p>
        </w:tc>
      </w:tr>
      <w:tr>
        <w:tc>
          <w:tcPr>
            <w:tcW w:type="auto" w:w="4535"/>
          </w:tcPr>
          <w:p>
            <w:pPr>
              <w:jc w:val="left"/>
            </w:pPr>
            <w:r>
              <w:t>U03</w:t>
            </w:r>
          </w:p>
        </w:tc>
        <w:tc>
          <w:tcPr>
            <w:tcW w:type="auto" w:w="4535"/>
          </w:tcPr>
          <w:p>
            <w:pPr>
              <w:jc w:val="left"/>
            </w:pPr>
            <w:r>
              <w:rPr>
                <w:color w:val="000000"/>
                <w:highlight w:val="yellow"/>
              </w:rPr>
              <w:t>{3-Tier.}</w:t>
            </w:r>
          </w:p>
        </w:tc>
      </w:tr>
      <w:tr>
        <w:tc>
          <w:tcPr>
            <w:tcW w:type="auto" w:w="4535"/>
          </w:tcPr>
          <w:p>
            <w:pPr>
              <w:jc w:val="left"/>
            </w:pPr>
            <w:r>
              <w:t>U03</w:t>
            </w:r>
          </w:p>
        </w:tc>
        <w:tc>
          <w:tcPr>
            <w:tcW w:type="auto" w:w="4535"/>
          </w:tcPr>
          <w:p>
            <w:pPr>
              <w:jc w:val="left"/>
            </w:pPr>
            <w:r>
              <w:rPr>
                <w:color w:val="000000"/>
                <w:highlight w:val="yellow"/>
              </w:rPr>
              <w:t>{IP-adres onafhankelijkheid. IP-adressen van systemen of systeemonderdelen zijn te wijzigen zonder dat dit een significantie impact heeft op de applicatie, bijvoorbeeld door ontkoppeling middels DNS.}</w:t>
            </w:r>
          </w:p>
        </w:tc>
      </w:tr>
      <w:tr>
        <w:tc>
          <w:tcPr>
            <w:tcW w:type="auto" w:w="4535"/>
          </w:tcPr>
          <w:p>
            <w:pPr>
              <w:jc w:val="left"/>
            </w:pPr>
            <w:r>
              <w:t>U04</w:t>
            </w:r>
          </w:p>
        </w:tc>
        <w:tc>
          <w:tcPr>
            <w:tcW w:type="auto" w:w="4535"/>
          </w:tcPr>
          <w:p>
            <w:pPr>
              <w:jc w:val="left"/>
            </w:pPr>
            <w:r>
              <w:t xml:space="preserve">Communicatie via </w:t>
            </w:r>
            <w:r>
              <w:rPr>
                <w:color w:val="000000"/>
                <w:highlight w:val="yellow"/>
              </w:rPr>
              <w:t>{netwerk}</w:t>
            </w:r>
            <w:r>
              <w:t xml:space="preserve"> of </w:t>
            </w:r>
            <w:r>
              <w:rPr>
                <w:color w:val="000000"/>
                <w:highlight w:val="yellow"/>
              </w:rPr>
              <w:t>{internet}</w:t>
            </w:r>
            <w:r>
              <w:t xml:space="preserve">. Systeem-naar-systeemcommunicatie van en naar </w:t>
            </w:r>
            <w:r>
              <w:rPr>
                <w:color w:val="000000"/>
                <w:highlight w:val="yellow"/>
              </w:rPr>
              <w:t>{het product}</w:t>
            </w:r>
            <w:r>
              <w:t xml:space="preserve"> verloopt via </w:t>
            </w:r>
            <w:r>
              <w:rPr>
                <w:color w:val="000000"/>
                <w:highlight w:val="yellow"/>
              </w:rPr>
              <w:t>{netwerk}</w:t>
            </w:r>
            <w:r>
              <w:t>.</w:t>
            </w:r>
          </w:p>
        </w:tc>
      </w:tr>
      <w:tr>
        <w:tc>
          <w:tcPr>
            <w:tcW w:type="auto" w:w="4535"/>
          </w:tcPr>
          <w:p>
            <w:pPr>
              <w:jc w:val="left"/>
            </w:pPr>
            <w:r>
              <w:t>U05</w:t>
            </w:r>
          </w:p>
        </w:tc>
        <w:tc>
          <w:tcPr>
            <w:tcW w:type="auto" w:w="4535"/>
          </w:tcPr>
          <w:p>
            <w:pPr>
              <w:jc w:val="left"/>
            </w:pPr>
            <w:r>
              <w:rPr>
                <w:color w:val="000000"/>
                <w:highlight w:val="yellow"/>
              </w:rPr>
              <w:t>{Virtualisatie tenzij. In het kader van schaalbaarheid, flexibiliteit en kosten wordt gebruik gemaakt van virtuele servers tenzij dit technisch niet kan.}</w:t>
            </w:r>
          </w:p>
        </w:tc>
      </w:tr>
      <w:tr>
        <w:tc>
          <w:tcPr>
            <w:tcW w:type="auto" w:w="4535"/>
          </w:tcPr>
          <w:p>
            <w:pPr>
              <w:jc w:val="left"/>
            </w:pPr>
            <w:r>
              <w:t>U06</w:t>
            </w:r>
          </w:p>
        </w:tc>
        <w:tc>
          <w:tcPr>
            <w:tcW w:type="auto" w:w="4535"/>
          </w:tcPr>
          <w:p>
            <w:pPr>
              <w:jc w:val="left"/>
            </w:pPr>
            <w:r>
              <w:rPr>
                <w:color w:val="000000"/>
                <w:highlight w:val="yellow"/>
              </w:rPr>
              <w:t>{Uitgangspunten met betrekking tot redundantie.}</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In verschillende documenten zijn eisen en wensen opgenomen die ten grondslag liggen aan dit High Level Design. Deze zijn opgenomen in de volgende documenten:</w:t>
      </w:r>
    </w:p>
    <w:p>
      <w:pPr>
        <w:pStyle w:val="Lijstopsomteken1"/>
        <w:numPr>
          <w:ilvl w:val="0"/>
        </w:numPr>
      </w:pPr>
      <w:r>
        <w:t xml:space="preserve">Globaal functioneel ontwerp (functionele requirements) </w:t>
      </w:r>
      <w:r>
        <w:rPr>
          <w:color w:val="000000"/>
          <w:highlight w:val="yellow"/>
        </w:rPr>
        <w:t>{documentreferentie}</w:t>
      </w:r>
    </w:p>
    <w:p>
      <w:pPr>
        <w:pStyle w:val="Lijstopsomteken1"/>
        <w:numPr>
          <w:ilvl w:val="0"/>
        </w:numPr>
      </w:pPr>
      <w:r>
        <w:t xml:space="preserve">Projectstartarchitectuur </w:t>
      </w:r>
      <w:r>
        <w:rPr>
          <w:color w:val="000000"/>
          <w:highlight w:val="yellow"/>
        </w:rPr>
        <w:t>{documentreferentie}</w:t>
      </w:r>
    </w:p>
    <w:p>
      <w:pPr>
        <w:pStyle w:val="Lijstopsomteken1"/>
        <w:numPr>
          <w:ilvl w:val="0"/>
        </w:numPr>
      </w:pPr>
      <w:r>
        <w:t xml:space="preserve">Software-architectuurdocument </w:t>
      </w:r>
      <w:r>
        <w:rPr>
          <w:color w:val="000000"/>
          <w:highlight w:val="yellow"/>
        </w:rPr>
        <w:t>{documentreferentie}</w:t>
      </w:r>
    </w:p>
    <w:p>
      <w:pPr>
        <w:pStyle w:val="Lijstopsomteken1"/>
        <w:numPr>
          <w:ilvl w:val="0"/>
        </w:numPr>
      </w:pPr>
      <w:r>
        <w:t xml:space="preserve">Niet-functionele eisen </w:t>
      </w:r>
      <w:r>
        <w:rPr>
          <w:color w:val="000000"/>
          <w:highlight w:val="yellow"/>
        </w:rPr>
        <w:t>{documentreferentie}</w:t>
      </w:r>
    </w:p>
    <w:p>
      <w:pPr>
        <w:pStyle w:val="Lijstopsomteken1"/>
        <w:numPr>
          <w:ilvl w:val="0"/>
        </w:numPr>
      </w:pPr>
      <w:r>
        <w:t xml:space="preserve">Informatiebeveiligingsplan (bevat eisen en wensen en mogelijk maatregelen tegen informatiebeveiligingsrisico’s) </w:t>
      </w:r>
      <w:r>
        <w:rPr>
          <w:color w:val="000000"/>
          <w:highlight w:val="yellow"/>
        </w:rPr>
        <w:t>{documentreferentie}</w:t>
      </w:r>
    </w:p>
    <w:p>
      <w:pPr>
        <w:pStyle w:val="Kop2"/>
      </w:pPr>
      <w:r>
        <w:t>Leeswijzer</w:t>
      </w:r>
    </w:p>
    <w:p>
      <w:r>
        <w:t>Hoofdstuk 2 bevat de technische eisen die nog niet zijn opgenomen in andere documenten. Hoofdstuk 3 beschrijft de standaardcomponenten in de infrastructuur. Hoofdstuk 4 beschrijft het netwerkontwerp en de verschillende componenten in de infrastructuur.</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Technische infrastructuureisen</w:t>
      </w:r>
    </w:p>
    <w:p>
      <w:r>
        <w:t>De volgende tabel bevat technische eisen die ten grondslag liggen aan het project en aan dit document zijn en die niet beschreven staan in andere documenten uit de voorfase.</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Infrastructuureis</w:t>
            </w:r>
          </w:p>
        </w:tc>
      </w:tr>
      <w:tr>
        <w:tc>
          <w:tcPr>
            <w:tcW w:type="auto" w:w="4535"/>
          </w:tcPr>
          <w:p>
            <w:pPr>
              <w:jc w:val="left"/>
            </w:pPr>
            <w:r>
              <w:t>TR01</w:t>
            </w:r>
          </w:p>
        </w:tc>
        <w:tc>
          <w:tcPr>
            <w:tcW w:type="auto" w:w="4535"/>
          </w:tcPr>
          <w:p>
            <w:pPr>
              <w:jc w:val="left"/>
            </w:pPr>
            <w:r>
              <w:rPr>
                <w:color w:val="000000"/>
                <w:highlight w:val="yellow"/>
              </w:rPr>
              <w:t>{eis}</w:t>
            </w:r>
          </w:p>
        </w:tc>
      </w:tr>
      <w:tr>
        <w:tc>
          <w:tcPr>
            <w:tcW w:type="auto" w:w="4535"/>
          </w:tcPr>
          <w:p>
            <w:pPr>
              <w:jc w:val="left"/>
            </w:pPr>
            <w:r>
              <w:t>TR02</w:t>
            </w:r>
          </w:p>
        </w:tc>
        <w:tc>
          <w:tcPr>
            <w:tcW w:type="auto" w:w="4535"/>
          </w:tcPr>
          <w:p>
            <w:pPr>
              <w:jc w:val="left"/>
            </w:pPr>
            <w:r>
              <w:rPr>
                <w:color w:val="000000"/>
                <w:highlight w:val="yellow"/>
              </w:rPr>
              <w:t>{eis}</w:t>
            </w:r>
          </w:p>
        </w:tc>
      </w:tr>
    </w:tbl>
    <w:p>
      <w:pPr>
        <w:pStyle w:val="Kop1"/>
      </w:pPr>
      <w:r>
        <w:t>Standaard componenten</w:t>
      </w:r>
    </w:p>
    <w:p>
      <w:r>
        <w:rPr>
          <w:color w:val="000000"/>
          <w:highlight w:val="yellow"/>
        </w:rPr>
        <w:t>{Beschrijving van de standaard componenten voor de operationele en beheeromgeving die beschikbaar zijn voor het systeem.}</w:t>
      </w:r>
    </w:p>
    <w:p>
      <w:pPr>
        <w:pStyle w:val="Kop2"/>
      </w:pPr>
      <w:r>
        <w:t>Identity provisioning</w:t>
      </w:r>
    </w:p>
    <w:p>
      <w:r>
        <w:rPr>
          <w:color w:val="000000"/>
          <w:highlight w:val="yellow"/>
        </w:rPr>
        <w:t>{Beschrijving van de identity provisioning voorziening}</w:t>
      </w:r>
      <w:r>
        <w:t>.</w:t>
      </w:r>
    </w:p>
    <w:p>
      <w:pPr>
        <w:pStyle w:val="Kop2"/>
      </w:pPr>
      <w:r>
        <w:t>Logging</w:t>
      </w:r>
    </w:p>
    <w:p>
      <w:r>
        <w:rPr>
          <w:color w:val="000000"/>
          <w:highlight w:val="yellow"/>
        </w:rPr>
        <w:t>{Beschrijving van de logging voorziening}</w:t>
      </w:r>
      <w:r>
        <w:t>.</w:t>
      </w:r>
    </w:p>
    <w:p>
      <w:pPr>
        <w:pStyle w:val="Kop2"/>
      </w:pPr>
      <w:r>
        <w:t>Monitoring</w:t>
      </w:r>
    </w:p>
    <w:p>
      <w:r>
        <w:rPr>
          <w:color w:val="000000"/>
          <w:highlight w:val="yellow"/>
        </w:rPr>
        <w:t>{Beschrijving van de monitoring voorziening}</w:t>
      </w:r>
      <w:r>
        <w:t>.</w:t>
      </w:r>
    </w:p>
    <w:p>
      <w:pPr>
        <w:pStyle w:val="Kop2"/>
      </w:pPr>
      <w:r>
        <w:t>Back-up en restore</w:t>
      </w:r>
    </w:p>
    <w:p>
      <w:r>
        <w:rPr>
          <w:color w:val="000000"/>
          <w:highlight w:val="yellow"/>
        </w:rPr>
        <w:t>{Beschrijving van de backup voorziening}</w:t>
      </w:r>
      <w:r>
        <w:t>.</w:t>
      </w:r>
    </w:p>
    <w:p>
      <w:pPr>
        <w:pStyle w:val="Kop1"/>
      </w:pPr>
      <w:r>
        <w:t>Ontwerp</w:t>
      </w:r>
    </w:p>
    <w:p>
      <w:pPr>
        <w:pStyle w:val="Kop2"/>
      </w:pPr>
      <w:r>
        <w:t>Netwerkomgeving</w:t>
      </w:r>
    </w:p>
    <w:p>
      <w:r>
        <w:rPr>
          <w:color w:val="000000"/>
          <w:highlight w:val="yellow"/>
        </w:rPr>
        <w:t>{Beschrijving van de netwerkomgeving}</w:t>
      </w:r>
      <w:r>
        <w:t>.</w:t>
      </w:r>
    </w:p>
    <w:p>
      <w:r>
        <w:rPr>
          <w:color w:val="000000"/>
          <w:highlight w:val="yellow"/>
        </w:rPr>
        <w:t>{Afbeelding van de infrastructuur met zonering, waarbij aangegeven in welke laag van de architectuur je alles configureert.}</w:t>
      </w:r>
    </w:p>
    <w:p>
      <w:r>
        <w:rPr>
          <w:color w:val="000000"/>
          <w:highlight w:val="yellow"/>
        </w:rPr>
        <w:t>{Beschrijving OTAP-omgevingen.}</w:t>
      </w:r>
    </w:p>
    <w:p>
      <w:pPr>
        <w:pStyle w:val="Kop2"/>
      </w:pPr>
      <w:r>
        <w:t xml:space="preserve">Component 1 - </w:t>
      </w:r>
      <w:r>
        <w:rPr>
          <w:color w:val="000000"/>
          <w:highlight w:val="yellow"/>
        </w:rPr>
        <w:t>{naam component}</w:t>
      </w:r>
    </w:p>
    <w:p>
      <w:r>
        <w:rPr>
          <w:color w:val="000000"/>
          <w:highlight w:val="yellow"/>
        </w:rPr>
        <w:t>{Beschrijving component}</w:t>
      </w:r>
    </w:p>
    <w:p>
      <w:r>
        <w:rPr>
          <w:color w:val="000000"/>
          <w:highlight w:val="yellow"/>
        </w:rPr>
        <w:t>{Componentnaam}</w:t>
      </w:r>
      <w:r>
        <w:t xml:space="preserve"> bestaat uit onderstaande subcomponenten: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Subcomponent</w:t>
            </w:r>
          </w:p>
        </w:tc>
        <w:tc>
          <w:tcPr>
            <w:tcW w:type="auto" w:w="2267"/>
          </w:tcPr>
          <w:p>
            <w:pPr>
              <w:jc w:val="left"/>
            </w:pPr>
            <w:r>
              <w:t>Rol</w:t>
            </w:r>
          </w:p>
        </w:tc>
        <w:tc>
          <w:tcPr>
            <w:tcW w:type="auto" w:w="2267"/>
          </w:tcPr>
          <w:p>
            <w:pPr>
              <w:jc w:val="left"/>
            </w:pPr>
            <w:r>
              <w:t>Specificatie</w:t>
            </w:r>
          </w:p>
        </w:tc>
        <w:tc>
          <w:tcPr>
            <w:tcW w:type="auto" w:w="2267"/>
          </w:tcPr>
          <w:p>
            <w:pPr>
              <w:jc w:val="left"/>
            </w:pPr>
            <w:r>
              <w:t>Zone</w:t>
            </w:r>
          </w:p>
        </w:tc>
      </w:tr>
      <w:tr>
        <w:tc>
          <w:tcPr>
            <w:tcW w:type="auto" w:w="2267"/>
          </w:tcPr>
          <w:p>
            <w:pPr>
              <w:jc w:val="left"/>
            </w:pPr>
            <w:r>
              <w:rPr>
                <w:color w:val="000000"/>
                <w:highlight w:val="yellow"/>
              </w:rPr>
              <w:t>{naam subcomponent}</w:t>
            </w:r>
          </w:p>
        </w:tc>
        <w:tc>
          <w:tcPr>
            <w:tcW w:type="auto" w:w="2267"/>
          </w:tcPr>
          <w:p>
            <w:pPr>
              <w:jc w:val="left"/>
            </w:pPr>
            <w:r>
              <w:rPr>
                <w:color w:val="000000"/>
                <w:highlight w:val="yellow"/>
              </w:rPr>
              <w:t>{rol}</w:t>
            </w:r>
          </w:p>
        </w:tc>
        <w:tc>
          <w:tcPr>
            <w:tcW w:type="auto" w:w="2267"/>
          </w:tcPr>
          <w:p>
            <w:pPr>
              <w:jc w:val="left"/>
            </w:pPr>
            <w:r>
              <w:rPr>
                <w:color w:val="000000"/>
                <w:highlight w:val="yellow"/>
              </w:rPr>
              <w:t>{specificatie}</w:t>
            </w:r>
          </w:p>
        </w:tc>
        <w:tc>
          <w:tcPr>
            <w:tcW w:type="auto" w:w="2267"/>
          </w:tcPr>
          <w:p>
            <w:pPr>
              <w:jc w:val="left"/>
            </w:pPr>
            <w:r>
              <w:rPr>
                <w:color w:val="000000"/>
                <w:highlight w:val="yellow"/>
              </w:rPr>
              <w:t>{zone}</w:t>
            </w:r>
          </w:p>
        </w:tc>
      </w:tr>
    </w:tbl>
    <w:p>
      <w:r>
        <w:rPr>
          <w:color w:val="000000"/>
          <w:highlight w:val="yellow"/>
        </w:rPr>
        <w:t>{Beschrijving van subcomponenten en een gedetailleerde infrastructuurplaat opnemen, indien dit toegevoegde waarde heeft.}</w:t>
      </w:r>
    </w:p>
    <w:p>
      <w:pPr>
        <w:pStyle w:val="Kop2"/>
      </w:pPr>
      <w:r>
        <w:t xml:space="preserve">Component 2 - </w:t>
      </w:r>
      <w:r>
        <w:rPr>
          <w:color w:val="000000"/>
          <w:highlight w:val="yellow"/>
        </w:rPr>
        <w:t>{naam component}</w:t>
      </w:r>
    </w:p>
    <w:p>
      <w:r>
        <w:rPr>
          <w:color w:val="000000"/>
          <w:highlight w:val="yellow"/>
        </w:rPr>
        <w:t>{Beschrijving component}</w:t>
      </w:r>
    </w:p>
    <w:p>
      <w:r>
        <w:rPr>
          <w:color w:val="000000"/>
          <w:highlight w:val="yellow"/>
        </w:rPr>
        <w:t>{Componentnaam}</w:t>
      </w:r>
      <w:r>
        <w:t xml:space="preserve"> bestaat uit onderstaande subcomponenten: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Subcomponent</w:t>
            </w:r>
          </w:p>
        </w:tc>
        <w:tc>
          <w:tcPr>
            <w:tcW w:type="auto" w:w="2267"/>
          </w:tcPr>
          <w:p>
            <w:pPr>
              <w:jc w:val="left"/>
            </w:pPr>
            <w:r>
              <w:t>Rol</w:t>
            </w:r>
          </w:p>
        </w:tc>
        <w:tc>
          <w:tcPr>
            <w:tcW w:type="auto" w:w="2267"/>
          </w:tcPr>
          <w:p>
            <w:pPr>
              <w:jc w:val="left"/>
            </w:pPr>
            <w:r>
              <w:t>Specificatie</w:t>
            </w:r>
          </w:p>
        </w:tc>
        <w:tc>
          <w:tcPr>
            <w:tcW w:type="auto" w:w="2267"/>
          </w:tcPr>
          <w:p>
            <w:pPr>
              <w:jc w:val="left"/>
            </w:pPr>
            <w:r>
              <w:t>Zone</w:t>
            </w:r>
          </w:p>
        </w:tc>
      </w:tr>
      <w:tr>
        <w:tc>
          <w:tcPr>
            <w:tcW w:type="auto" w:w="2267"/>
          </w:tcPr>
          <w:p>
            <w:pPr>
              <w:jc w:val="left"/>
            </w:pPr>
            <w:r>
              <w:rPr>
                <w:color w:val="000000"/>
                <w:highlight w:val="yellow"/>
              </w:rPr>
              <w:t>{naam subcomponent}</w:t>
            </w:r>
          </w:p>
        </w:tc>
        <w:tc>
          <w:tcPr>
            <w:tcW w:type="auto" w:w="2267"/>
          </w:tcPr>
          <w:p>
            <w:pPr>
              <w:jc w:val="left"/>
            </w:pPr>
            <w:r>
              <w:rPr>
                <w:color w:val="000000"/>
                <w:highlight w:val="yellow"/>
              </w:rPr>
              <w:t>{rol}</w:t>
            </w:r>
          </w:p>
        </w:tc>
        <w:tc>
          <w:tcPr>
            <w:tcW w:type="auto" w:w="2267"/>
          </w:tcPr>
          <w:p>
            <w:pPr>
              <w:jc w:val="left"/>
            </w:pPr>
            <w:r>
              <w:rPr>
                <w:color w:val="000000"/>
                <w:highlight w:val="yellow"/>
              </w:rPr>
              <w:t>{specificatie}</w:t>
            </w:r>
          </w:p>
        </w:tc>
        <w:tc>
          <w:tcPr>
            <w:tcW w:type="auto" w:w="2267"/>
          </w:tcPr>
          <w:p>
            <w:pPr>
              <w:jc w:val="left"/>
            </w:pPr>
            <w:r>
              <w:rPr>
                <w:color w:val="000000"/>
                <w:highlight w:val="yellow"/>
              </w:rPr>
              <w:t>{zone}</w:t>
            </w:r>
          </w:p>
        </w:tc>
      </w:tr>
    </w:tbl>
    <w:p>
      <w:r>
        <w:rPr>
          <w:color w:val="000000"/>
          <w:highlight w:val="yellow"/>
        </w:rPr>
        <w:t>{Beschrijving van subcomponenten en een gedetailleerde infrastructuurplaat opnemen, indien dit toegevoegde waarde heeft.}</w:t>
      </w:r>
    </w:p>
    <w:p>
      <w:pPr>
        <w:pStyle w:val="Kop2"/>
      </w:pPr>
      <w:r>
        <w:t xml:space="preserve">Servers </w:t>
      </w:r>
      <w:r>
        <w:rPr>
          <w:color w:val="000000"/>
          <w:highlight w:val="yellow"/>
        </w:rPr>
        <w:t>{optioneel}</w:t>
      </w:r>
    </w:p>
    <w:p>
      <w:r>
        <w:t>De volgende servers zijn aanwezig:</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Server</w:t>
            </w:r>
          </w:p>
        </w:tc>
        <w:tc>
          <w:tcPr>
            <w:tcW w:type="auto" w:w="1512"/>
          </w:tcPr>
          <w:p>
            <w:pPr>
              <w:jc w:val="left"/>
            </w:pPr>
            <w:r>
              <w:t>Beschrijving component</w:t>
            </w:r>
          </w:p>
        </w:tc>
        <w:tc>
          <w:tcPr>
            <w:tcW w:type="auto" w:w="1512"/>
          </w:tcPr>
          <w:p>
            <w:pPr>
              <w:jc w:val="left"/>
            </w:pPr>
            <w:r>
              <w:t>Ontwikkel</w:t>
            </w:r>
          </w:p>
        </w:tc>
        <w:tc>
          <w:tcPr>
            <w:tcW w:type="auto" w:w="1512"/>
          </w:tcPr>
          <w:p>
            <w:pPr>
              <w:jc w:val="left"/>
            </w:pPr>
            <w:r>
              <w:t>Test</w:t>
            </w:r>
          </w:p>
        </w:tc>
        <w:tc>
          <w:tcPr>
            <w:tcW w:type="auto" w:w="1512"/>
          </w:tcPr>
          <w:p>
            <w:pPr>
              <w:jc w:val="left"/>
            </w:pPr>
            <w:r>
              <w:t>Acceptatie</w:t>
            </w:r>
          </w:p>
        </w:tc>
        <w:tc>
          <w:tcPr>
            <w:tcW w:type="auto" w:w="1512"/>
          </w:tcPr>
          <w:p>
            <w:pPr>
              <w:jc w:val="left"/>
            </w:pPr>
            <w:r>
              <w:t>Productie</w:t>
            </w:r>
          </w:p>
        </w:tc>
      </w:tr>
      <w:tr>
        <w:tc>
          <w:tcPr>
            <w:tcW w:type="auto" w:w="1512"/>
          </w:tcPr>
          <w:p>
            <w:pPr>
              <w:jc w:val="left"/>
            </w:pPr>
            <w:r>
              <w:rPr>
                <w:color w:val="000000"/>
                <w:highlight w:val="yellow"/>
              </w:rPr>
              <w:t>{applicatieserver}</w:t>
            </w:r>
          </w:p>
        </w:tc>
        <w:tc>
          <w:tcPr>
            <w:tcW w:type="auto" w:w="1512"/>
          </w:tcPr>
          <w:p>
            <w:pPr>
              <w:jc w:val="left"/>
            </w:pPr>
            <w:r>
              <w:rPr>
                <w:color w:val="000000"/>
                <w:highlight w:val="yellow"/>
              </w:rPr>
              <w:t>{beschrijving}</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r>
      <w:tr>
        <w:tc>
          <w:tcPr>
            <w:tcW w:type="auto" w:w="1512"/>
          </w:tcPr>
          <w:p>
            <w:pPr>
              <w:jc w:val="left"/>
            </w:pPr>
            <w:r>
              <w:rPr>
                <w:color w:val="000000"/>
                <w:highlight w:val="yellow"/>
              </w:rPr>
              <w:t>{database server}</w:t>
            </w:r>
          </w:p>
        </w:tc>
        <w:tc>
          <w:tcPr>
            <w:tcW w:type="auto" w:w="1512"/>
          </w:tcPr>
          <w:p>
            <w:pPr>
              <w:jc w:val="left"/>
            </w:pPr>
            <w:r>
              <w:rPr>
                <w:color w:val="000000"/>
                <w:highlight w:val="yellow"/>
              </w:rPr>
              <w:t>{beschrijving}</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r>
      <w:tr>
        <w:tc>
          <w:tcPr>
            <w:tcW w:type="auto" w:w="1512"/>
          </w:tcPr>
          <w:p>
            <w:pPr>
              <w:jc w:val="left"/>
            </w:pPr>
            <w:r>
              <w:rPr>
                <w:color w:val="000000"/>
                <w:highlight w:val="yellow"/>
              </w:rPr>
              <w:t>{overige servers}</w:t>
            </w:r>
          </w:p>
        </w:tc>
        <w:tc>
          <w:tcPr>
            <w:tcW w:type="auto" w:w="1512"/>
          </w:tcPr>
          <w:p>
            <w:pPr>
              <w:jc w:val="left"/>
            </w:pPr>
            <w:r>
              <w:rPr>
                <w:color w:val="000000"/>
                <w:highlight w:val="yellow"/>
              </w:rPr>
              <w:t>{beschrijving}</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r>
    </w:tbl>
    <w:p>
      <w:pPr>
        <w:pStyle w:val="Kop2"/>
      </w:pPr>
      <w:r>
        <w:t xml:space="preserve">Gebruikte URL’s </w:t>
      </w:r>
      <w:r>
        <w:rPr>
          <w:color w:val="000000"/>
          <w:highlight w:val="yellow"/>
        </w:rPr>
        <w:t>{optioneel}</w:t>
      </w:r>
    </w:p>
    <w:p>
      <w:pPr>
        <w:pStyle w:val="Kop3"/>
      </w:pPr>
      <w:r>
        <w:t>Interne URL’s</w:t>
      </w:r>
    </w:p>
    <w:p>
      <w:r>
        <w:rPr>
          <w:color w:val="000000"/>
          <w:highlight w:val="yellow"/>
        </w:rPr>
        <w:t>{Opsomming gebruikte interne URL's.}</w:t>
      </w:r>
    </w:p>
    <w:p>
      <w:pPr>
        <w:pStyle w:val="Kop3"/>
      </w:pPr>
      <w:r>
        <w:t>Monitor-URL’s</w:t>
      </w:r>
    </w:p>
    <w:p>
      <w:r>
        <w:rPr>
          <w:color w:val="000000"/>
          <w:highlight w:val="yellow"/>
        </w:rPr>
        <w:t>{Opsomming gebruikte monitor-URL's.}</w:t>
      </w:r>
    </w:p>
    <w:p>
      <w:pPr>
        <w:pStyle w:val="Kop3"/>
      </w:pPr>
      <w:r>
        <w:t>Externe URL’s</w:t>
      </w:r>
    </w:p>
    <w:p>
      <w:r>
        <w:rPr>
          <w:color w:val="000000"/>
          <w:highlight w:val="yellow"/>
        </w:rPr>
        <w:t>{Opsomming gebruikte externe URL's.}</w:t>
      </w:r>
    </w:p>
    <w:p>
      <w:pPr>
        <w:pStyle w:val="Kop2"/>
      </w:pPr>
      <w:r>
        <w:t xml:space="preserve">Benodigde certificaten </w:t>
      </w:r>
      <w:r>
        <w:rPr>
          <w:color w:val="000000"/>
          <w:highlight w:val="yellow"/>
        </w:rPr>
        <w:t>{optioneel}</w:t>
      </w:r>
    </w:p>
    <w:p>
      <w:r>
        <w:t>De volgende certificaten zijn nodig:</w:t>
      </w:r>
    </w:p>
    <w:p>
      <w:pPr>
        <w:pStyle w:val="Lijstopsomteken1"/>
        <w:numPr>
          <w:ilvl w:val="0"/>
        </w:numPr>
      </w:pPr>
      <w:r>
        <w:rPr>
          <w:color w:val="000000"/>
          <w:highlight w:val="yellow"/>
        </w:rPr>
        <w:t>{certificaat}</w:t>
      </w:r>
    </w:p>
    <w:p>
      <w:pPr>
        <w:pStyle w:val="Lijstopsomteken1"/>
        <w:numPr>
          <w:ilvl w:val="0"/>
        </w:numPr>
      </w:pPr>
      <w:r>
        <w:rPr>
          <w:color w:val="000000"/>
          <w:highlight w:val="yellow"/>
        </w:rPr>
        <w:t>{certificaat}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4">
              <w:r>
                <w:rPr>
                  <w:rStyle w:val="Hyperlink"/>
                </w:rPr>
                <w:t>BIO</w:t>
              </w:r>
            </w:hyperlink>
          </w:p>
        </w:tc>
        <w:tc>
          <w:tcPr>
            <w:tcW w:type="auto" w:w="4535"/>
          </w:tcPr>
          <w:p>
            <w:pPr>
              <w:jc w:val="left"/>
            </w:pPr>
            <w:r>
              <w:t>Baseline Informatiebeveiliging Overheid.</w:t>
            </w:r>
          </w:p>
        </w:tc>
      </w:tr>
      <w:tr>
        <w:tc>
          <w:tcPr>
            <w:tcW w:type="auto" w:w="4535"/>
          </w:tcPr>
          <w:p>
            <w:pPr>
              <w:jc w:val="left"/>
            </w:pPr>
            <w:hyperlink r:id="rId1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7">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1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
              <w:r>
                <w:rPr>
                  <w:rStyle w:val="Hyperlink"/>
                </w:rPr>
                <w:t>NEN 7510:2017</w:t>
              </w:r>
            </w:hyperlink>
          </w:p>
        </w:tc>
        <w:tc>
          <w:tcPr>
            <w:tcW w:type="auto" w:w="4535"/>
          </w:tcPr>
          <w:p>
            <w:pPr>
              <w:jc w:val="left"/>
            </w:pPr>
            <w:r>
              <w:t>Informatiebeveiliging in de zorg.</w:t>
            </w:r>
          </w:p>
        </w:tc>
      </w:tr>
      <w:tr>
        <w:tc>
          <w:tcPr>
            <w:tcW w:type="auto" w:w="4535"/>
          </w:tcPr>
          <w:p>
            <w:pPr>
              <w:jc w:val="left"/>
            </w:pPr>
            <w:hyperlink r:id="rId2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1">
        <w:r>
          <w:rPr>
            <w:rStyle w:val="Hyperlink"/>
          </w:rPr>
          <w:t>PDF-formaat</w:t>
        </w:r>
      </w:hyperlink>
      <w:r>
        <w:t xml:space="preserve"> of </w:t>
      </w:r>
      <w:hyperlink r:id="rId32">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High-Level Design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bio-overheid.nl/media/1572/bio-versie-104zv_def.pdf" TargetMode="External"/><Relationship Id="rId15" Type="http://schemas.openxmlformats.org/officeDocument/2006/relationships/hyperlink" Target="https://www.iso.org/standard/77520.html" TargetMode="External"/><Relationship Id="rId16" Type="http://schemas.openxmlformats.org/officeDocument/2006/relationships/hyperlink" Target="https://www.ncsc.nl/documenten/publicaties/2019/mei/01/ict-beveiligingsrichtlijnen-voor-webapplicaties" TargetMode="External"/><Relationship Id="rId17" Type="http://schemas.openxmlformats.org/officeDocument/2006/relationships/hyperlink" Target="https://www.nen.nl/nen-iso-iec-25010-2011-en-157265" TargetMode="External"/><Relationship Id="rId18" Type="http://schemas.openxmlformats.org/officeDocument/2006/relationships/hyperlink" Target="https://www.nen.nl/nen-en-iso-iec-27001-2017-a11-2020-nl-265545" TargetMode="External"/><Relationship Id="rId19" Type="http://schemas.openxmlformats.org/officeDocument/2006/relationships/hyperlink" Target="https://www.nen.nl/nen-en-iso-iec-27002-2017-nl-245390" TargetMode="External"/><Relationship Id="rId20" Type="http://schemas.openxmlformats.org/officeDocument/2006/relationships/hyperlink" Target="https://www.nen.nl/nen-7510-1-2017-a1-2020-nl-267179" TargetMode="External"/><Relationship Id="rId21" Type="http://schemas.openxmlformats.org/officeDocument/2006/relationships/hyperlink" Target="https://www.nen.nl/npr-5325-2017-nl-238298" TargetMode="External"/><Relationship Id="rId22" Type="http://schemas.openxmlformats.org/officeDocument/2006/relationships/hyperlink" Target="https://www.nen.nl/npr-5326-2019-nl-262885" TargetMode="External"/><Relationship Id="rId23" Type="http://schemas.openxmlformats.org/officeDocument/2006/relationships/hyperlink" Target="https://www.noraonline.nl" TargetMode="External"/><Relationship Id="rId24" Type="http://schemas.openxmlformats.org/officeDocument/2006/relationships/hyperlink" Target="https://owasp.org/www-project-top-ten/" TargetMode="External"/><Relationship Id="rId25" Type="http://schemas.openxmlformats.org/officeDocument/2006/relationships/hyperlink" Target="https://scrumguides.org/docs/scrumguide/v2020/2020-Scrum-Guide-Dutch.pdf" TargetMode="External"/><Relationship Id="rId26" Type="http://schemas.openxmlformats.org/officeDocument/2006/relationships/hyperlink" Target="https://wetten.overheid.nl/BWBR0022141/2007-07-01" TargetMode="External"/><Relationship Id="rId27" Type="http://schemas.openxmlformats.org/officeDocument/2006/relationships/hyperlink" Target="https://wetten.overheid.nl/BWBR0033507/2013-06-01" TargetMode="External"/><Relationship Id="rId28" Type="http://schemas.openxmlformats.org/officeDocument/2006/relationships/hyperlink" Target="https://wetten.overheid.nl/BWBR0041515/2020-07-15" TargetMode="External"/><Relationship Id="rId29" Type="http://schemas.openxmlformats.org/officeDocument/2006/relationships/hyperlink" Target="https://www.tweedekamer.nl/sites/default/files/field_uploads/33326-5-Eindrapport_tcm181-239826.pdf" TargetMode="External"/><Relationship Id="rId30" Type="http://schemas.openxmlformats.org/officeDocument/2006/relationships/hyperlink" Target="https://www.ictu.nl/kwaliteitsaanpak" TargetMode="External"/><Relationship Id="rId31" Type="http://schemas.openxmlformats.org/officeDocument/2006/relationships/hyperlink" Target="https://ictu.github.io/Kwaliteitsaanpak/v4.1.0/ICTU-Kwaliteitsaanpak-Wijzigingsgeschiedenis.pdf" TargetMode="External"/><Relationship Id="rId32" Type="http://schemas.openxmlformats.org/officeDocument/2006/relationships/hyperlink" Target="https://ictu.github.io/Kwaliteitsaanpak/v4.1.0/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