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4.2.0, 24-03-2025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v4.2.0</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Privacy impact assessment (PIA)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Product backlog</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product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Betrokken partijen communiceren onvoldoende over het beoogde projectresultaat, waardoor verwachtingen uit elkaar lopen. Gevolg is dat partijen geen overeenstemming bereiken over de scope van de realisatiefase.</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PSA is niet gereed bij de start van de voorfase. Hierdoor is de scope niet helder en kan de voorfase niet tijdig worden afgerond.</w:t>
            </w:r>
          </w:p>
        </w:tc>
        <w:tc>
          <w:tcPr>
            <w:tcW w:type="auto" w:w="4535"/>
          </w:tcPr>
          <w:p>
            <w:pPr>
              <w:jc w:val="left"/>
            </w:pPr>
            <w:r>
              <w:t>PSA laten goedkeuren door architectuurboard voor de start van de voorfase.</w:t>
            </w:r>
          </w:p>
        </w:tc>
      </w:tr>
      <w:tr>
        <w:tc>
          <w:tcPr>
            <w:tcW w:type="auto" w:w="4535"/>
          </w:tcPr>
          <w:p>
            <w:pPr>
              <w:jc w:val="left"/>
            </w:pPr>
            <w:r>
              <w:t>Diverse vertegenwoordigers van de opdrachtgever zijn niet beschikbaar vanwege een voorgenomen reorganisatie. Inhoudelijke vragen van het voorfaseteam worden hierdoor niet tijdig beantwoord.</w:t>
            </w:r>
          </w:p>
        </w:tc>
        <w:tc>
          <w:tcPr>
            <w:tcW w:type="auto" w:w="4535"/>
          </w:tcPr>
          <w:p>
            <w:pPr>
              <w:jc w:val="left"/>
            </w:pPr>
            <w:r>
              <w:t>Voor de voorfase controleren of alle genoemde vertegenwoordigers volgens plannning beschikbaar zijn. Achtervang organiseren.</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 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3">
              <w:r>
                <w:rPr>
                  <w:rStyle w:val="Hyperlink"/>
                </w:rPr>
                <w:t>NEN 7510:2017</w:t>
              </w:r>
            </w:hyperlink>
          </w:p>
        </w:tc>
        <w:tc>
          <w:tcPr>
            <w:tcW w:type="auto" w:w="4535"/>
          </w:tcPr>
          <w:p>
            <w:pPr>
              <w:jc w:val="left"/>
            </w:pPr>
            <w:r>
              <w:t>Informatiebeveiliging in de zorg.</w:t>
            </w: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v4.2.0/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23-en-318088" TargetMode="External"/><Relationship Id="rId21" Type="http://schemas.openxmlformats.org/officeDocument/2006/relationships/hyperlink" Target="https://www.nen.nl/nen-en-iso-iec-27001-2017-a11-2020-nl-265545" TargetMode="External"/><Relationship Id="rId22" Type="http://schemas.openxmlformats.org/officeDocument/2006/relationships/hyperlink" Target="https://www.nen.nl/nen-en-iso-iec-27002-2017-nl-245390" TargetMode="External"/><Relationship Id="rId23" Type="http://schemas.openxmlformats.org/officeDocument/2006/relationships/hyperlink" Target="https://www.nen.nl/nen-7510-1-2017-a1-2020-nl-267179"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v4.2.0/ICTU-Kwaliteitsaanpak-Wijzigingsgeschiedenis.pdf" TargetMode="External"/><Relationship Id="rId35" Type="http://schemas.openxmlformats.org/officeDocument/2006/relationships/hyperlink" Target="https://ictu.github.io/Kwaliteitsaanpak/v4.2.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