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24-03-2025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analyse,</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Tevens onderhoudt de opdrachtgevende organisatie deze informatie tijdens de voorfase en realisatiefase.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analyse en privacy impact assessment</w:t>
      </w:r>
    </w:p>
    <w:p>
      <w:r>
        <w:t xml:space="preserve">De opdrachtgevende organisatie zorgt dat het project bij de start van de voorfase inzicht heeft in de informatie die typisch wordt vastgelegd in een projectstartarchitectuur, business impact analyse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711688"/>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711688"/>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r>
        <w:t>De standaard NEN-ISO/IEC 25010:2023 biedt een model voor het beschrijven van productkwaliteit. Kwaliteitseigenschappen zijn voorzien van een naam, definitie en classificatie. NEN-ISO/IEC 25010:2023 dekt een breed spectrum van kwaliteitseigenschappen af.</w:t>
      </w:r>
    </w:p>
    <w:p>
      <w:pPr>
        <w:pStyle w:val="Kop3"/>
      </w:pPr>
      <w:r>
        <w:t>Rationale</w:t>
      </w:r>
    </w:p>
    <w:p>
      <w:r>
        <w:t>NEN-ISO/IEC 25010:2023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product en sprint 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r>
        <w:t>ICTU adviseert en ondersteunt voor de genoemde taken onderstaande tools. Projecten gebruiken deze tools, of gelijkwaardige alternatieven:</w:t>
      </w:r>
    </w:p>
    <w:p>
      <w:pPr>
        <w:pStyle w:val="Lijstnummering1"/>
        <w:numPr>
          <w:ilvl w:val="0"/>
          <w:numId w:val="24"/>
        </w:numPr>
      </w:pPr>
      <w:r>
        <w:t>product en sprint 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 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product en sprint 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23-en-318088"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