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11-04-2025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Data protection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Impact assessment mensenrechten en algoritmes</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Projectstartarchitectuur en solution 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Afspraken met de beheerorganisatie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Impact assessment mensenrechten en algoritmes</w:t>
      </w:r>
    </w:p>
    <w:p>
      <w:r>
        <w:t>Een impact assessment voor mensenrechten bij de inzet van algoritmes is een instrument voor discussie en besluitvorming door overheidsorganen over de ontwikkeling en/of inzet van een algoritmisch systeem. Met een dergelijke impact assessment kan een interdisciplinaire dialoog gevoerd worden tussen relevante partijen bij de afweging om wel of niet een algoritmische toepassing te gaan ontwikkelen. En het helpt om de gekozen ontwikkeling en implementatie vervolgens op een verantwoorde manier te doen. In het IAMA worden verbanden gelegd met relevante regels, instrumenten en toetskaders op het gebied van algoritmen.</w:t>
      </w:r>
    </w:p>
    <w:p>
      <w:r>
        <w:t xml:space="preserve">Zie </w:t>
      </w:r>
      <w:hyperlink r:id="rId19">
        <w:r>
          <w:rPr>
            <w:rStyle w:val="Hyperlink"/>
          </w:rPr>
          <w:t>https://www.rijksoverheid.nl/documenten/rapporten/2021/02/25/impact-assessment-mensenrechten-en-algoritmes</w:t>
        </w:r>
      </w:hyperlink>
      <w:r>
        <w:t>.</w:t>
      </w:r>
    </w:p>
    <w:p>
      <w:r>
        <w:t xml:space="preserve">Voor meer informatie over het gezamenlijk gebruik van IAMA en DPIA, zie </w:t>
      </w:r>
      <w:hyperlink r:id="rId20">
        <w:r>
          <w:rPr>
            <w:rStyle w:val="Hyperlink"/>
          </w:rPr>
          <w:t>https://www.cip-overheid.nl/media/av0dmahv/20230614-gezamenlijk-gebruik-iama-en-model-dpia-rijksdienst-v1-0.pdf</w:t>
        </w:r>
      </w:hyperlink>
      <w:r>
        <w:t>.</w:t>
      </w:r>
    </w:p>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BIA, DPIA en IAMA zijn input voor de PSA.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21">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2">
        <w:r>
          <w:rPr>
            <w:rStyle w:val="Hyperlink"/>
          </w:rPr>
          <w:t>https://www.noraonline.nl/wiki/Solution-architectuur</w:t>
        </w:r>
      </w:hyperlink>
      <w:r>
        <w: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3">
        <w:r>
          <w:rPr>
            <w:rStyle w:val="Hyperlink"/>
          </w:rPr>
          <w:t>Template plan van aanpak voorfase</w:t>
        </w:r>
      </w:hyperlink>
      <w:r>
        <w:t>.</w:t>
      </w:r>
    </w:p>
    <w:p>
      <w:pPr>
        <w:pStyle w:val="Lijstopsomteken1"/>
        <w:numPr>
          <w:ilvl w:val="0"/>
        </w:numPr>
      </w:pPr>
      <w:hyperlink r:id="rId24">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5">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6">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7">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8">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9">
        <w:r>
          <w:rPr>
            <w:rStyle w:val="Hyperlink"/>
          </w:rPr>
          <w:t>Template globaal functioneel ontwerp</w:t>
        </w:r>
      </w:hyperlink>
      <w:r>
        <w:t>.</w:t>
      </w:r>
    </w:p>
    <w:p>
      <w:pPr>
        <w:pStyle w:val="Lijstopsomteken1"/>
        <w:numPr>
          <w:ilvl w:val="0"/>
        </w:numPr>
      </w:pPr>
      <w:hyperlink r:id="rId30">
        <w:r>
          <w:rPr>
            <w:rStyle w:val="Hyperlink"/>
          </w:rPr>
          <w:t>Template softwarearchitectuurdocument</w:t>
        </w:r>
      </w:hyperlink>
      <w:r>
        <w:t>.</w:t>
      </w:r>
    </w:p>
    <w:p>
      <w:pPr>
        <w:pStyle w:val="Lijstopsomteken1"/>
        <w:numPr>
          <w:ilvl w:val="0"/>
        </w:numPr>
      </w:pPr>
      <w:hyperlink r:id="rId31">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2">
        <w:r>
          <w:rPr>
            <w:rStyle w:val="Hyperlink"/>
          </w:rPr>
          <w:t>Template mastertestplan</w:t>
        </w:r>
      </w:hyperlink>
      <w:r>
        <w:t>.</w:t>
      </w:r>
    </w:p>
    <w:p>
      <w:pPr>
        <w:pStyle w:val="Lijstopsomteken1"/>
        <w:numPr>
          <w:ilvl w:val="0"/>
        </w:numPr>
      </w:pPr>
      <w:hyperlink r:id="rId33">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Belangrijkste bronnen voor het informatiebeveiligingsplan zijn de projectstartarchitectuur (PSA),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PSA, de BIA, een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4">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3216237"/>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5"/>
                    <a:stretch>
                      <a:fillRect/>
                    </a:stretch>
                  </pic:blipFill>
                  <pic:spPr>
                    <a:xfrm>
                      <a:off x="0" y="0"/>
                      <a:ext cx="5400000" cy="3216237"/>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r>
        <w:t>Omdat in de praktijk niet alle informatie uit business impact analyse, data protection impact assessment en impact assessment mensenrechten en algoritmes in detail in de projectstartarchitectuur kan worden opgenomen stelt opdrachtgever deze documenten ook ter beschikking aan het project. Projectmedewerkers kunnen zo deze documenten raadplegen bij het opstellen van de functionele en niet-functionele eisen en het informatiebeveiligingsplan.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inclusief de daarvoor uitgevoerde assessments (BIA, DPIA en IAMA) vormen input voor de tijdens de voorfase te ontwikkelen producten zoals functionele en niet-functionele eisen, informatiebeveiligingsplan, functioneel ontwerp en softwarearchitectuur.</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Een rapportage met tenminste de bevindingen, risico's voor opdrachtgevende organisatie en ICTU, en mitigerende maatregelen,</w:t>
      </w:r>
    </w:p>
    <w:p>
      <w:pPr>
        <w:pStyle w:val="Lijstnummering1"/>
        <w:numPr>
          <w:ilvl w:val="0"/>
          <w:numId w:val="19"/>
        </w:numPr>
      </w:pPr>
      <w:r>
        <w:t>Een transitieplan dat de activiteiten beschrijft die nodig zijn om de software af te bouwen of te herbouwen en te onderhouden, en</w:t>
      </w:r>
    </w:p>
    <w:p>
      <w:pPr>
        <w:pStyle w:val="Lijstnummering1"/>
        <w:numPr>
          <w:ilvl w:val="0"/>
          <w:numId w:val="19"/>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Tijdens de voorfase: het project reviewt de deliverables periodiek.</w:t>
      </w:r>
    </w:p>
    <w:p>
      <w:pPr>
        <w:pStyle w:val="Lijstnummering1"/>
        <w:numPr>
          <w:ilvl w:val="0"/>
          <w:numId w:val="20"/>
        </w:numPr>
      </w:pPr>
      <w:r>
        <w:t>Tijdens de realisatiefase: het project bewaakt op dagelijkse basis en geautomatiseerd de kwaliteit van de software.</w:t>
      </w:r>
    </w:p>
    <w:p>
      <w:pPr>
        <w:pStyle w:val="Lijstnummering1"/>
        <w:numPr>
          <w:ilvl w:val="0"/>
          <w:numId w:val="20"/>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0"/>
        </w:numPr>
      </w:pPr>
      <w:r>
        <w:t>Tijdens de realisatiefase: het project evalueert periodiek en handmatig de kwaliteitseigenschappen van de software die niet geautomatiseerd kunnen worden gemeten.</w:t>
      </w:r>
    </w:p>
    <w:p>
      <w:pPr>
        <w:pStyle w:val="Lijstnummering1"/>
        <w:numPr>
          <w:ilvl w:val="0"/>
          <w:numId w:val="20"/>
        </w:numPr>
      </w:pPr>
      <w:r>
        <w:t>Tijdens de realisatiefase: het project actualiseert en reviewt periodiek de documentatie.</w:t>
      </w:r>
    </w:p>
    <w:p>
      <w:pPr>
        <w:pStyle w:val="Lijstnummering1"/>
        <w:numPr>
          <w:ilvl w:val="0"/>
          <w:numId w:val="20"/>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Bouw van de software,</w:t>
      </w:r>
    </w:p>
    <w:p>
      <w:pPr>
        <w:pStyle w:val="Lijstnummering1"/>
        <w:numPr>
          <w:ilvl w:val="0"/>
          <w:numId w:val="21"/>
        </w:numPr>
      </w:pPr>
      <w:r>
        <w:t>Unit tests,</w:t>
      </w:r>
    </w:p>
    <w:p>
      <w:pPr>
        <w:pStyle w:val="Lijstnummering1"/>
        <w:numPr>
          <w:ilvl w:val="0"/>
          <w:numId w:val="21"/>
        </w:numPr>
      </w:pPr>
      <w:r>
        <w:t>Regressietests,</w:t>
      </w:r>
    </w:p>
    <w:p>
      <w:pPr>
        <w:pStyle w:val="Lijstnummering1"/>
        <w:numPr>
          <w:ilvl w:val="0"/>
          <w:numId w:val="21"/>
        </w:numPr>
      </w:pPr>
      <w:r>
        <w:t>Beveiligingstests,</w:t>
      </w:r>
    </w:p>
    <w:p>
      <w:pPr>
        <w:pStyle w:val="Lijstnummering1"/>
        <w:numPr>
          <w:ilvl w:val="0"/>
          <w:numId w:val="21"/>
        </w:numPr>
      </w:pPr>
      <w:r>
        <w:t>Performancetests,</w:t>
      </w:r>
    </w:p>
    <w:p>
      <w:pPr>
        <w:pStyle w:val="Lijstnummering1"/>
        <w:numPr>
          <w:ilvl w:val="0"/>
          <w:numId w:val="21"/>
        </w:numPr>
      </w:pPr>
      <w:r>
        <w:t>Toegankelijkheidstests,</w:t>
      </w:r>
    </w:p>
    <w:p>
      <w:pPr>
        <w:pStyle w:val="Lijstnummering1"/>
        <w:numPr>
          <w:ilvl w:val="0"/>
          <w:numId w:val="21"/>
        </w:numPr>
      </w:pPr>
      <w:r>
        <w:t>Broncodekwaliteitscontroles,</w:t>
      </w:r>
    </w:p>
    <w:p>
      <w:pPr>
        <w:pStyle w:val="Lijstnummering1"/>
        <w:numPr>
          <w:ilvl w:val="0"/>
          <w:numId w:val="21"/>
        </w:numPr>
      </w:pPr>
      <w:r>
        <w:t>Installatie van de software in test, acceptatie en/of productieomgevingen,</w:t>
      </w:r>
    </w:p>
    <w:p>
      <w:pPr>
        <w:pStyle w:val="Lijstnummering1"/>
        <w:numPr>
          <w:ilvl w:val="0"/>
          <w:numId w:val="21"/>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r>
              <w:t>Product en sprint backlog management en agile werken</w:t>
            </w:r>
          </w:p>
        </w:tc>
        <w:tc>
          <w:tcPr>
            <w:tcW w:type="auto" w:w="4535"/>
          </w:tcPr>
          <w:p>
            <w:pPr>
              <w:jc w:val="left"/>
            </w:pPr>
            <w:r>
              <w:t>Azure DevOps of Jira</w:t>
            </w:r>
          </w:p>
        </w:tc>
      </w:tr>
      <w:tr>
        <w:tc>
          <w:tcPr>
            <w:tcW w:type="auto" w:w="4535"/>
          </w:tcPr>
          <w:p>
            <w:pPr>
              <w:jc w:val="left"/>
            </w:pPr>
            <w:r>
              <w:t>Inrichten en uitvoeren van een continuous delivery pipeline</w:t>
            </w:r>
          </w:p>
        </w:tc>
        <w:tc>
          <w:tcPr>
            <w:tcW w:type="auto" w:w="4535"/>
          </w:tcPr>
          <w:p>
            <w:pPr>
              <w:jc w:val="left"/>
            </w:pPr>
            <w:r>
              <w:t>Jenkins, GitLab CI/CD (Continuous Integration, Delivery, and Deployment) of Azure DevOps</w:t>
            </w:r>
          </w:p>
        </w:tc>
      </w:tr>
      <w:tr>
        <w:tc>
          <w:tcPr>
            <w:tcW w:type="auto" w:w="4535"/>
          </w:tcPr>
          <w:p>
            <w:pPr>
              <w:jc w:val="left"/>
            </w:pPr>
            <w:r>
              <w:t>Monitoren van de kwaliteit van broncode</w:t>
            </w:r>
          </w:p>
        </w:tc>
        <w:tc>
          <w:tcPr>
            <w:tcW w:type="auto" w:w="4535"/>
          </w:tcPr>
          <w:p>
            <w:pPr>
              <w:jc w:val="left"/>
            </w:pPr>
            <w:r>
              <w:t>SonarQube</w:t>
            </w:r>
          </w:p>
        </w:tc>
      </w:tr>
      <w:tr>
        <w:tc>
          <w:tcPr>
            <w:tcW w:type="auto" w:w="4535"/>
          </w:tcPr>
          <w:p>
            <w:pPr>
              <w:jc w:val="left"/>
            </w:pPr>
            <w:r>
              <w:t>Versiebeheer van op te leveren producten</w:t>
            </w:r>
          </w:p>
        </w:tc>
        <w:tc>
          <w:tcPr>
            <w:tcW w:type="auto" w:w="4535"/>
          </w:tcPr>
          <w:p>
            <w:pPr>
              <w:jc w:val="left"/>
            </w:pPr>
            <w:r>
              <w:t>GitLab of Azure DevOps</w:t>
            </w:r>
          </w:p>
        </w:tc>
      </w:tr>
      <w:tr>
        <w:tc>
          <w:tcPr>
            <w:tcW w:type="auto" w:w="4535"/>
          </w:tcPr>
          <w:p>
            <w:pPr>
              <w:jc w:val="left"/>
            </w:pPr>
            <w:r>
              <w:t>Release van software</w:t>
            </w:r>
          </w:p>
        </w:tc>
        <w:tc>
          <w:tcPr>
            <w:tcW w:type="auto" w:w="4535"/>
          </w:tcPr>
          <w:p>
            <w:pPr>
              <w:jc w:val="left"/>
            </w:pPr>
            <w:r>
              <w:t>Releaseserver in het ontwikkelplatform</w:t>
            </w:r>
          </w:p>
        </w:tc>
      </w:tr>
      <w:tr>
        <w:tc>
          <w:tcPr>
            <w:tcW w:type="auto" w:w="4535"/>
          </w:tcPr>
          <w:p>
            <w:pPr>
              <w:jc w:val="left"/>
            </w:pPr>
            <w:r>
              <w:t>Maken van testrapportages</w:t>
            </w:r>
          </w:p>
        </w:tc>
        <w:tc>
          <w:tcPr>
            <w:tcW w:type="auto" w:w="4535"/>
          </w:tcPr>
          <w:p>
            <w:pPr>
              <w:jc w:val="left"/>
            </w:pPr>
            <w:r>
              <w:t>JUnit, Robot Framework, TestNG, of hiermee compatible tools</w:t>
            </w:r>
          </w:p>
        </w:tc>
      </w:tr>
      <w:tr>
        <w:tc>
          <w:tcPr>
            <w:tcW w:type="auto" w:w="4535"/>
          </w:tcPr>
          <w:p>
            <w:pPr>
              <w:jc w:val="left"/>
            </w:pPr>
            <w:r>
              <w:t>Maken van kwaliteitsrapportages</w:t>
            </w:r>
          </w:p>
        </w:tc>
        <w:tc>
          <w:tcPr>
            <w:tcW w:type="auto" w:w="4535"/>
          </w:tcPr>
          <w:p>
            <w:pPr>
              <w:jc w:val="left"/>
            </w:pPr>
            <w:r>
              <w:t>Quality-time</w:t>
            </w:r>
          </w:p>
        </w:tc>
      </w:tr>
      <w:tr>
        <w:tc>
          <w:tcPr>
            <w:tcW w:type="auto" w:w="4535"/>
          </w:tcPr>
          <w:p>
            <w:pPr>
              <w:jc w:val="left"/>
            </w:pPr>
            <w:r>
              <w:t>Actueel houden van externe software</w:t>
            </w:r>
          </w:p>
        </w:tc>
        <w:tc>
          <w:tcPr>
            <w:tcW w:type="auto" w:w="4535"/>
          </w:tcPr>
          <w:p>
            <w:pPr>
              <w:jc w:val="left"/>
            </w:pPr>
            <w:r>
              <w:t>RenovateBot</w:t>
            </w:r>
          </w:p>
        </w:tc>
      </w:tr>
      <w:tr>
        <w:tc>
          <w:tcPr>
            <w:tcW w:type="auto" w:w="4535"/>
          </w:tcPr>
          <w:p>
            <w:pPr>
              <w:jc w:val="left"/>
            </w:pPr>
            <w:r>
              <w:t>Controleren op aanwezigheid van bekende kwetsbaarheden in externe software</w:t>
            </w:r>
          </w:p>
        </w:tc>
        <w:tc>
          <w:tcPr>
            <w:tcW w:type="auto" w:w="4535"/>
          </w:tcPr>
          <w:p>
            <w:pPr>
              <w:jc w:val="left"/>
            </w:pPr>
            <w:r>
              <w:t>OWASP (Open Web Application Security Project) Dependency-Check en/of Dependency-Track</w:t>
            </w:r>
          </w:p>
        </w:tc>
      </w:tr>
      <w:tr>
        <w:tc>
          <w:tcPr>
            <w:tcW w:type="auto" w:w="4535"/>
          </w:tcPr>
          <w:p>
            <w:pPr>
              <w:jc w:val="left"/>
            </w:pPr>
            <w:r>
              <w:t>Statische controle van de software op aanwezigheid van kwetsbare constructies</w:t>
            </w:r>
          </w:p>
        </w:tc>
        <w:tc>
          <w:tcPr>
            <w:tcW w:type="auto" w:w="4535"/>
          </w:tcPr>
          <w:p>
            <w:pPr>
              <w:jc w:val="left"/>
            </w:pPr>
            <w:r>
              <w:t>SonarQube</w:t>
            </w:r>
          </w:p>
        </w:tc>
      </w:tr>
      <w:tr>
        <w:tc>
          <w:tcPr>
            <w:tcW w:type="auto" w:w="4535"/>
          </w:tcPr>
          <w:p>
            <w:pPr>
              <w:jc w:val="left"/>
            </w:pPr>
            <w:r>
              <w:t>Dynamische controle van de software op aanwezigheid van kwetsbare constructies</w:t>
            </w:r>
          </w:p>
        </w:tc>
        <w:tc>
          <w:tcPr>
            <w:tcW w:type="auto" w:w="4535"/>
          </w:tcPr>
          <w:p>
            <w:pPr>
              <w:jc w:val="left"/>
            </w:pPr>
            <w:r>
              <w:t>ZAP (Zed Attack Proxy) by Checkmarx</w:t>
            </w:r>
          </w:p>
        </w:tc>
      </w:tr>
      <w:tr>
        <w:tc>
          <w:tcPr>
            <w:tcW w:type="auto" w:w="4535"/>
          </w:tcPr>
          <w:p>
            <w:pPr>
              <w:jc w:val="left"/>
            </w:pPr>
            <w:r>
              <w:t>Controleren van container images op aanwezigheid van bekende kwetsbaarheden</w:t>
            </w:r>
          </w:p>
        </w:tc>
        <w:tc>
          <w:tcPr>
            <w:tcW w:type="auto" w:w="4535"/>
          </w:tcPr>
          <w:p>
            <w:pPr>
              <w:jc w:val="left"/>
            </w:pPr>
            <w:r>
              <w:t>Trivy</w:t>
            </w:r>
          </w:p>
        </w:tc>
      </w:tr>
      <w:tr>
        <w:tc>
          <w:tcPr>
            <w:tcW w:type="auto" w:w="4535"/>
          </w:tcPr>
          <w:p>
            <w:pPr>
              <w:jc w:val="left"/>
            </w:pPr>
            <w:r>
              <w:t>Testen van performance en schaalbaarheid</w:t>
            </w:r>
          </w:p>
        </w:tc>
        <w:tc>
          <w:tcPr>
            <w:tcW w:type="auto" w:w="4535"/>
          </w:tcPr>
          <w:p>
            <w:pPr>
              <w:jc w:val="left"/>
            </w:pPr>
            <w:r>
              <w:t>JMeter en Performancetestrunner</w:t>
            </w:r>
          </w:p>
        </w:tc>
      </w:tr>
      <w:tr>
        <w:tc>
          <w:tcPr>
            <w:tcW w:type="auto" w:w="4535"/>
          </w:tcPr>
          <w:p>
            <w:pPr>
              <w:jc w:val="left"/>
            </w:pPr>
            <w:r>
              <w:t>Testen op toegankelijkheid van de applicatie</w:t>
            </w:r>
          </w:p>
        </w:tc>
        <w:tc>
          <w:tcPr>
            <w:tcW w:type="auto" w:w="4535"/>
          </w:tcPr>
          <w:p>
            <w:pPr>
              <w:jc w:val="left"/>
            </w:pPr>
            <w:r>
              <w:t>Axe</w:t>
            </w:r>
          </w:p>
        </w:tc>
      </w:tr>
      <w:tr>
        <w:tc>
          <w:tcPr>
            <w:tcW w:type="auto" w:w="4535"/>
          </w:tcPr>
          <w:p>
            <w:pPr>
              <w:jc w:val="left"/>
            </w:pPr>
            <w:r>
              <w:t>Produceren van een "software bill of materials" (SBoM)</w:t>
            </w:r>
          </w:p>
        </w:tc>
        <w:tc>
          <w:tcPr>
            <w:tcW w:type="auto" w:w="4535"/>
          </w:tcPr>
          <w:p>
            <w:pPr>
              <w:jc w:val="left"/>
            </w:pPr>
            <w:r>
              <w:t>Tools die een SBoM in CycloneDX-formaat (zie https://cyclonedx.org) genereren</w:t>
            </w:r>
          </w:p>
        </w:tc>
      </w:tr>
      <w:tr>
        <w:tc>
          <w:tcPr>
            <w:tcW w:type="auto" w:w="4535"/>
          </w:tcPr>
          <w:p>
            <w:pPr>
              <w:jc w:val="left"/>
            </w:pPr>
            <w:r>
              <w:t>Opslaan van artifacten</w:t>
            </w:r>
          </w:p>
        </w:tc>
        <w:tc>
          <w:tcPr>
            <w:tcW w:type="auto" w:w="4535"/>
          </w:tcPr>
          <w:p>
            <w:pPr>
              <w:jc w:val="left"/>
            </w:pPr>
            <w:r>
              <w:t>Nexus of Harbor</w:t>
            </w:r>
          </w:p>
        </w:tc>
      </w:tr>
      <w:tr>
        <w:tc>
          <w:tcPr>
            <w:tcW w:type="auto" w:w="4535"/>
          </w:tcPr>
          <w:p>
            <w:pPr>
              <w:jc w:val="left"/>
            </w:pPr>
            <w:r>
              <w:t>Registratie van incidenten bij gebruik en beheer</w:t>
            </w:r>
          </w:p>
        </w:tc>
        <w:tc>
          <w:tcPr>
            <w:tcW w:type="auto" w:w="4535"/>
          </w:tcPr>
          <w:p>
            <w:pPr>
              <w:jc w:val="left"/>
            </w:pPr>
            <w:r>
              <w:t>Jira</w:t>
            </w:r>
          </w:p>
        </w:tc>
      </w:tr>
      <w:tr>
        <w:tc>
          <w:tcPr>
            <w:tcW w:type="auto" w:w="4535"/>
          </w:tcPr>
          <w:p>
            <w:pPr>
              <w:jc w:val="left"/>
            </w:pPr>
            <w:r>
              <w:t>Bij het uitvoeren van operationeel beheer; uitrollen van de software in de productieomgeving</w:t>
            </w: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Scrumteam bestaand uit product owner, ontwikkelaars (zoals programmeurs, testers en ontwerpers) en Scrummaster,</w:t>
      </w:r>
    </w:p>
    <w:p>
      <w:pPr>
        <w:pStyle w:val="Lijstnummering1"/>
        <w:numPr>
          <w:ilvl w:val="0"/>
          <w:numId w:val="22"/>
        </w:numPr>
      </w:pPr>
      <w:r>
        <w:t>Proces met daily scrum, sprints, sprint planning, sprint review, sprint retrospective en sprint refinement,</w:t>
      </w:r>
    </w:p>
    <w:p>
      <w:pPr>
        <w:pStyle w:val="Lijstnummering1"/>
        <w:numPr>
          <w:ilvl w:val="0"/>
          <w:numId w:val="22"/>
        </w:numPr>
      </w:pPr>
      <w:r>
        <w:t>Definition of Ready en Definition of Done,</w:t>
      </w:r>
    </w:p>
    <w:p>
      <w:pPr>
        <w:pStyle w:val="Lijstnummering1"/>
        <w:numPr>
          <w:ilvl w:val="0"/>
          <w:numId w:val="22"/>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6">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De documentatie beschrijft de ontwikkel- en testomgeving die is toegepast (5.1),</w:t>
      </w:r>
    </w:p>
    <w:p>
      <w:pPr>
        <w:pStyle w:val="Lijstnummering1"/>
        <w:numPr>
          <w:ilvl w:val="0"/>
          <w:numId w:val="23"/>
        </w:numPr>
      </w:pPr>
      <w:r>
        <w:t>De functionele documentatie beschrijft gegevensmodellen, functionele indeling, koppelingen, berichtdefinities en workflows/processen (5.2),</w:t>
      </w:r>
    </w:p>
    <w:p>
      <w:pPr>
        <w:pStyle w:val="Lijstnummering1"/>
        <w:numPr>
          <w:ilvl w:val="0"/>
          <w:numId w:val="23"/>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3"/>
        </w:numPr>
      </w:pPr>
      <w:r>
        <w:t>De product backlog bevat de bekende bugs en wensen (5.4),</w:t>
      </w:r>
    </w:p>
    <w:p>
      <w:pPr>
        <w:pStyle w:val="Lijstnummering1"/>
        <w:numPr>
          <w:ilvl w:val="0"/>
          <w:numId w:val="23"/>
        </w:numPr>
      </w:pPr>
      <w:r>
        <w:t>De broncode kent een gezonde balans tussen isolatie, cohesie en koppeling (6.1),</w:t>
      </w:r>
    </w:p>
    <w:p>
      <w:pPr>
        <w:pStyle w:val="Lijstnummering1"/>
        <w:numPr>
          <w:ilvl w:val="0"/>
          <w:numId w:val="23"/>
        </w:numPr>
      </w:pPr>
      <w:r>
        <w:t>De broncode heeft een beperkte mate van duplicatie (6.2),</w:t>
      </w:r>
    </w:p>
    <w:p>
      <w:pPr>
        <w:pStyle w:val="Lijstnummering1"/>
        <w:numPr>
          <w:ilvl w:val="0"/>
          <w:numId w:val="23"/>
        </w:numPr>
      </w:pPr>
      <w:r>
        <w:t>De broncode heeft een beperkte mate van complexiteit (6.3),</w:t>
      </w:r>
    </w:p>
    <w:p>
      <w:pPr>
        <w:pStyle w:val="Lijstnummering1"/>
        <w:numPr>
          <w:ilvl w:val="0"/>
          <w:numId w:val="23"/>
        </w:numPr>
      </w:pPr>
      <w:r>
        <w:t>De broncode bevat geen of een beperkt aantal niet-afgeronde werkzaamheden ("todo's") (6.4).</w:t>
      </w:r>
    </w:p>
    <w:p>
      <w:pPr>
        <w:pStyle w:val="Lijstnummering1"/>
        <w:numPr>
          <w:ilvl w:val="0"/>
          <w:numId w:val="23"/>
        </w:numPr>
      </w:pPr>
      <w:r>
        <w:t>De tests raken een voldoende groot deel van de broncode (code dekking) (7.1),</w:t>
      </w:r>
    </w:p>
    <w:p>
      <w:pPr>
        <w:pStyle w:val="Lijstnummering1"/>
        <w:numPr>
          <w:ilvl w:val="0"/>
          <w:numId w:val="23"/>
        </w:numPr>
      </w:pPr>
      <w:r>
        <w:t>De tests raken een voldoende groot deel van de functionaliteit (functionele dekking) (7.2),</w:t>
      </w:r>
    </w:p>
    <w:p>
      <w:pPr>
        <w:pStyle w:val="Lijstnummering1"/>
        <w:numPr>
          <w:ilvl w:val="0"/>
          <w:numId w:val="23"/>
        </w:numPr>
      </w:pPr>
      <w:r>
        <w:t>De onderkende productrisico's zijn gedekt (7.3),</w:t>
      </w:r>
    </w:p>
    <w:p>
      <w:pPr>
        <w:pStyle w:val="Lijstnummering1"/>
        <w:numPr>
          <w:ilvl w:val="0"/>
          <w:numId w:val="23"/>
        </w:numPr>
      </w:pPr>
      <w:r>
        <w:t>Er is een regressietest beschikbaar (7.4),</w:t>
      </w:r>
    </w:p>
    <w:p>
      <w:pPr>
        <w:pStyle w:val="Lijstnummering1"/>
        <w:numPr>
          <w:ilvl w:val="0"/>
          <w:numId w:val="23"/>
        </w:numPr>
      </w:pPr>
      <w:r>
        <w:t>Er is traceerbaarheid van eisen naar testgevallen (7.5), en</w:t>
      </w:r>
    </w:p>
    <w:p>
      <w:pPr>
        <w:pStyle w:val="Lijstnummering1"/>
        <w:numPr>
          <w:ilvl w:val="0"/>
          <w:numId w:val="23"/>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7">
        <w:r>
          <w:rPr>
            <w:rStyle w:val="Hyperlink"/>
          </w:rPr>
          <w:t>Beleid open standaarden</w:t>
        </w:r>
      </w:hyperlink>
      <w:r>
        <w:t>". De voorkeur voor het open source beschikbaar stellen van eigen ontwikkelde tools is conform de "</w:t>
      </w:r>
      <w:hyperlink r:id="rId38">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9">
              <w:r>
                <w:rPr>
                  <w:rStyle w:val="Hyperlink"/>
                </w:rPr>
                <w:t>BIO</w:t>
              </w:r>
            </w:hyperlink>
          </w:p>
        </w:tc>
        <w:tc>
          <w:tcPr>
            <w:tcW w:type="auto" w:w="4535"/>
          </w:tcPr>
          <w:p>
            <w:pPr>
              <w:jc w:val="left"/>
            </w:pPr>
            <w:r>
              <w:t>Baseline Informatiebeveiliging Overheid.</w:t>
            </w:r>
          </w:p>
        </w:tc>
      </w:tr>
      <w:tr>
        <w:tc>
          <w:tcPr>
            <w:tcW w:type="auto" w:w="4535"/>
          </w:tcPr>
          <w:p>
            <w:pPr>
              <w:jc w:val="left"/>
            </w:pPr>
            <w:hyperlink r:id="rId4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1">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2">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3">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4">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5">
              <w:r>
                <w:rPr>
                  <w:rStyle w:val="Hyperlink"/>
                </w:rPr>
                <w:t>NEN 7510:2017</w:t>
              </w:r>
            </w:hyperlink>
          </w:p>
        </w:tc>
        <w:tc>
          <w:tcPr>
            <w:tcW w:type="auto" w:w="4535"/>
          </w:tcPr>
          <w:p>
            <w:pPr>
              <w:jc w:val="left"/>
            </w:pPr>
            <w:r>
              <w:t>Informatiebeveiliging in de zorg.</w:t>
            </w:r>
          </w:p>
        </w:tc>
      </w:tr>
      <w:tr>
        <w:tc>
          <w:tcPr>
            <w:tcW w:type="auto" w:w="4535"/>
          </w:tcPr>
          <w:p>
            <w:pPr>
              <w:jc w:val="left"/>
            </w:pPr>
            <w:hyperlink r:id="rId46">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7">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8">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9">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0">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1">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2">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3">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rijksoverheid.nl/documenten/rapporten/2021/02/25/impact-assessment-mensenrechten-en-algoritmes" TargetMode="External"/><Relationship Id="rId20" Type="http://schemas.openxmlformats.org/officeDocument/2006/relationships/hyperlink" Target="https://www.cip-overheid.nl/media/av0dmahv/20230614-gezamenlijk-gebruik-iama-en-model-dpia-rijksdienst-v1-0.pdf" TargetMode="External"/><Relationship Id="rId21" Type="http://schemas.openxmlformats.org/officeDocument/2006/relationships/hyperlink" Target="https://www.noraonline.nl/wiki/PSA" TargetMode="External"/><Relationship Id="rId22" Type="http://schemas.openxmlformats.org/officeDocument/2006/relationships/hyperlink" Target="https://www.noraonline.nl/wiki/Solution-architectuur" TargetMode="External"/><Relationship Id="rId23" Type="http://schemas.openxmlformats.org/officeDocument/2006/relationships/hyperlink" Target="https://ictu.github.io/Kwaliteitsaanpak/wip/ICTU-Template-Plan-van-Aanpak-Voorfase.docx" TargetMode="External"/><Relationship Id="rId24" Type="http://schemas.openxmlformats.org/officeDocument/2006/relationships/hyperlink" Target="https://ictu.github.io/Kwaliteitsaanpak/wip/ICTU-Template-Plan-van-Aanpak-Realisatiefase.docx" TargetMode="External"/><Relationship Id="rId25" Type="http://schemas.openxmlformats.org/officeDocument/2006/relationships/hyperlink" Target="https://www.digitoegankelijk.nl/wetgeving/toegankelijkheidsverklaring" TargetMode="External"/><Relationship Id="rId26" Type="http://schemas.openxmlformats.org/officeDocument/2006/relationships/hyperlink" Target="https://ictu.github.io/Kwaliteitsaanpak/wip/Neutraal-Template-Niet-Functionele-Eisen.docx" TargetMode="External"/><Relationship Id="rId27" Type="http://schemas.openxmlformats.org/officeDocument/2006/relationships/hyperlink" Target="https://www.scrumguides.org/scrum-guide.html#artifacts-productbacklog" TargetMode="External"/><Relationship Id="rId28" Type="http://schemas.openxmlformats.org/officeDocument/2006/relationships/hyperlink" Target="https://www.win.tue.nl/~wstomv/edu/2ip30/references/Kruchten-4+1-view.pdf" TargetMode="External"/><Relationship Id="rId29" Type="http://schemas.openxmlformats.org/officeDocument/2006/relationships/hyperlink" Target="https://ictu.github.io/Kwaliteitsaanpak/wip/ICTU-Template-Globaal-Functioneel-Ontwerp.docx" TargetMode="External"/><Relationship Id="rId30" Type="http://schemas.openxmlformats.org/officeDocument/2006/relationships/hyperlink" Target="https://ictu.github.io/Kwaliteitsaanpak/wip/ICTU-Template-Software-architectuurdocument.docx" TargetMode="External"/><Relationship Id="rId31" Type="http://schemas.openxmlformats.org/officeDocument/2006/relationships/hyperlink" Target="https://ictu.github.io/Kwaliteitsaanpak/wip/Neutraal-Template-Infrastructuurarchitectuur.docx" TargetMode="External"/><Relationship Id="rId32" Type="http://schemas.openxmlformats.org/officeDocument/2006/relationships/hyperlink" Target="https://ictu.github.io/Kwaliteitsaanpak/wip/Neutraal-Template-Mastertestplan.docx" TargetMode="External"/><Relationship Id="rId33" Type="http://schemas.openxmlformats.org/officeDocument/2006/relationships/hyperlink" Target="https://ictu.github.io/Kwaliteitsaanpak/wip/ICTU-Template-Detailtestplan-Softwarerealisatie.docx" TargetMode="External"/><Relationship Id="rId34" Type="http://schemas.openxmlformats.org/officeDocument/2006/relationships/hyperlink" Target="https://ictu.github.io/Kwaliteitsaanpak/wip/ICTU-Template-Kwaliteitsplan.docx" TargetMode="External"/><Relationship Id="rId35" Type="http://schemas.openxmlformats.org/officeDocument/2006/relationships/image" Target="media/image3.png"/><Relationship Id="rId36" Type="http://schemas.openxmlformats.org/officeDocument/2006/relationships/hyperlink" Target="https://ictu.github.io/Kwaliteitsaanpak/wip/ICTU-Kwaliteitsaanpak-Checklist.xlsx" TargetMode="External"/><Relationship Id="rId37" Type="http://schemas.openxmlformats.org/officeDocument/2006/relationships/hyperlink" Target="https://www.noraonline.nl/wiki/Beleid_open_standaarden" TargetMode="External"/><Relationship Id="rId38" Type="http://schemas.openxmlformats.org/officeDocument/2006/relationships/hyperlink" Target="https://www.rijksoverheid.nl/documenten/kamerstukken/2020/04/17/kamerbrief-inzake-vrijgeven-broncode-overheidssoftware" TargetMode="External"/><Relationship Id="rId39" Type="http://schemas.openxmlformats.org/officeDocument/2006/relationships/hyperlink" Target="https://bio-overheid.nl/media/1572/bio-versie-104zv_def.pdf" TargetMode="External"/><Relationship Id="rId40" Type="http://schemas.openxmlformats.org/officeDocument/2006/relationships/hyperlink" Target="https://www.iso.org/standard/77520.html" TargetMode="External"/><Relationship Id="rId41" Type="http://schemas.openxmlformats.org/officeDocument/2006/relationships/hyperlink" Target="https://www.ncsc.nl/documenten/publicaties/2019/mei/01/ict-beveiligingsrichtlijnen-voor-webapplicaties" TargetMode="External"/><Relationship Id="rId42" Type="http://schemas.openxmlformats.org/officeDocument/2006/relationships/hyperlink" Target="https://www.nen.nl/nen-iso-iec-25010-2023-en-318088" TargetMode="External"/><Relationship Id="rId43" Type="http://schemas.openxmlformats.org/officeDocument/2006/relationships/hyperlink" Target="https://www.nen.nl/nen-en-iso-iec-27001-2017-a11-2020-nl-265545" TargetMode="External"/><Relationship Id="rId44" Type="http://schemas.openxmlformats.org/officeDocument/2006/relationships/hyperlink" Target="https://www.nen.nl/nen-en-iso-iec-27002-2017-nl-245390" TargetMode="External"/><Relationship Id="rId45" Type="http://schemas.openxmlformats.org/officeDocument/2006/relationships/hyperlink" Target="https://www.nen.nl/nen-7510-1-2017-a1-2020-nl-267179" TargetMode="External"/><Relationship Id="rId46" Type="http://schemas.openxmlformats.org/officeDocument/2006/relationships/hyperlink" Target="https://www.nen.nl/npr-5325-2017-nl-238298" TargetMode="External"/><Relationship Id="rId47" Type="http://schemas.openxmlformats.org/officeDocument/2006/relationships/hyperlink" Target="https://www.nen.nl/npr-5326-2019-nl-262885" TargetMode="External"/><Relationship Id="rId48" Type="http://schemas.openxmlformats.org/officeDocument/2006/relationships/hyperlink" Target="https://www.noraonline.nl" TargetMode="External"/><Relationship Id="rId49" Type="http://schemas.openxmlformats.org/officeDocument/2006/relationships/hyperlink" Target="https://owasp.org/www-project-top-ten/" TargetMode="External"/><Relationship Id="rId50" Type="http://schemas.openxmlformats.org/officeDocument/2006/relationships/hyperlink" Target="https://scrumguides.org/docs/scrumguide/v2020/2020-Scrum-Guide-Dutch.pdf" TargetMode="External"/><Relationship Id="rId51" Type="http://schemas.openxmlformats.org/officeDocument/2006/relationships/hyperlink" Target="https://wetten.overheid.nl/BWBR0022141/2007-07-01" TargetMode="External"/><Relationship Id="rId52" Type="http://schemas.openxmlformats.org/officeDocument/2006/relationships/hyperlink" Target="https://wetten.overheid.nl/BWBR0033507/2013-06-01" TargetMode="External"/><Relationship Id="rId53"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