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04-03-2025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Tevens onderhoudt de opdrachtgevende organisatie deze informatie tijdens de voorfase en realisatiefase.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product en sprint 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r>
        <w:t>ICTU adviseert en ondersteunt voor de genoemde taken onderstaande tools. Projecten gebruiken deze tools, of gelijkwaardige alternatieven:</w:t>
      </w:r>
    </w:p>
    <w:p>
      <w:pPr>
        <w:pStyle w:val="Lijstnummering1"/>
        <w:numPr>
          <w:ilvl w:val="0"/>
          <w:numId w:val="24"/>
        </w:numPr>
      </w:pPr>
      <w:r>
        <w:t>product en sprint 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 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product en sprint 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