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22-09-2025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16">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7">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M01: Het project ontvangt en levert in elke fase vastgestelde producten en informatie</w:t>
      </w:r>
    </w:p>
    <w:p>
      <w:pPr>
        <w:pStyle w:val="Maatregel"/>
      </w:pP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data protection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vinkje (✔) geeft aan in welke fase ze (initieel) worden opgeleverd. Het tandwiel (⚙) geeft aan in welke fase de producten worden onderhouden en bijgewerkt.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Data protection impact assessment</w:t>
      </w:r>
    </w:p>
    <w:p>
      <w:r>
        <w:t>In een data protection impact assessment (DPIA) legt de opdrachtgevende organisatie vast wat de privacy-gevoeligheid is van de gegevens die in een proces of informatiesysteem worden verzameld en verwerkt. De rechtmatigheid van de verwerking wordt beoordeeld. En de DPIA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DPIA niet nodig is, dan is een verklaring daaromtrent vereist.</w:t>
      </w:r>
    </w:p>
    <w:p>
      <w:pPr>
        <w:pStyle w:val="Kop3"/>
      </w:pPr>
      <w:r>
        <w:t>Impact assessment mensenrechten en algoritmes</w:t>
      </w:r>
    </w:p>
    <w:p>
      <w:r>
        <w:t>Een impact assessment voor mensenrechten bij de inzet van algoritmes is een instrument voor discussie en besluitvorming door overheidsorganen over de ontwikkeling en/of inzet van een algoritmisch systeem. Met een dergelijke impact assessment kan een interdisciplinaire dialoog gevoerd worden tussen relevante partijen bij de afweging om wel of niet een algoritmische toepassing te gaan ontwikkelen. En het helpt om de gekozen ontwikkeling en implementatie vervolgens op een verantwoorde manier te doen. In het IAMA worden verbanden gelegd met relevante regels, instrumenten en toetskaders op het gebied van algoritmen.</w:t>
      </w:r>
    </w:p>
    <w:p>
      <w:r>
        <w:t>Een IAMA wordt ingezet in alle gevallen waarin een overheidsorgaan overweegt een algoritme te (laten) ontwikkelen, in te kopen, aan te passen en/of in te gaan zetten.</w:t>
      </w:r>
    </w:p>
    <w:p>
      <w:r>
        <w:t xml:space="preserve">Zie </w:t>
      </w:r>
      <w:hyperlink r:id="rId18">
        <w:r>
          <w:rPr>
            <w:rStyle w:val="Hyperlink"/>
          </w:rPr>
          <w:t>https://www.rijksoverheid.nl/documenten/rapporten/2021/02/25/impact-assessment-mensenrechten-en-algoritmes</w:t>
        </w:r>
      </w:hyperlink>
      <w:r>
        <w:t>.</w:t>
      </w:r>
    </w:p>
    <w:p>
      <w:r>
        <w:t xml:space="preserve">Voor meer informatie over het gezamenlijk gebruik van IAMA en DPIA, zie </w:t>
      </w:r>
      <w:hyperlink r:id="rId19">
        <w:r>
          <w:rPr>
            <w:rStyle w:val="Hyperlink"/>
          </w:rPr>
          <w:t>https://www.cip-overheid.nl/media/av0dmahv/20230614-gezamenlijk-gebruik-iama-en-model-dpia-rijksdienst-v1-0.pdf</w:t>
        </w:r>
      </w:hyperlink>
      <w:r>
        <w:t>.</w:t>
      </w:r>
    </w:p>
    <w:p>
      <w:pPr>
        <w:pStyle w:val="Kop3"/>
      </w:pPr>
      <w:r>
        <w:t>Projectstartarchitectuur en solution 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BIA, DPIA en IAMA zijn input voor de PSA.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20">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1">
        <w:r>
          <w:rPr>
            <w:rStyle w:val="Hyperlink"/>
          </w:rPr>
          <w:t>https://www.noraonline.nl/wiki/Solution-architectuur</w:t>
        </w:r>
      </w:hyperlink>
      <w:r>
        <w:t>.</w:t>
      </w:r>
    </w:p>
    <w:p>
      <w:pPr>
        <w:pStyle w:val="Kop3"/>
      </w:pPr>
      <w:r>
        <w:t>Afspraken met de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2">
        <w:r>
          <w:rPr>
            <w:rStyle w:val="Hyperlink"/>
          </w:rPr>
          <w:t>Template plan van aanpak voorfase</w:t>
        </w:r>
      </w:hyperlink>
      <w:r>
        <w:t>.</w:t>
      </w:r>
    </w:p>
    <w:p>
      <w:pPr>
        <w:pStyle w:val="Lijstopsomteken1"/>
        <w:numPr>
          <w:ilvl w:val="0"/>
        </w:numPr>
      </w:pPr>
      <w:hyperlink r:id="rId23">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4">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data protection impact assessment (DPIA), beheeracceptatiecriteria, beveiligingsbeleid en projectstartarchitectuur vormen het startpunt voor de niet-functionele eisen.</w:t>
      </w:r>
    </w:p>
    <w:p>
      <w:r>
        <w:t>Beschikbare templates:</w:t>
      </w:r>
    </w:p>
    <w:p>
      <w:pPr>
        <w:pStyle w:val="Lijstopsomteken1"/>
        <w:numPr>
          <w:ilvl w:val="0"/>
        </w:numPr>
      </w:pPr>
      <w:hyperlink r:id="rId25">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product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6">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7">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8">
        <w:r>
          <w:rPr>
            <w:rStyle w:val="Hyperlink"/>
          </w:rPr>
          <w:t>Template globaal functioneel ontwerp</w:t>
        </w:r>
      </w:hyperlink>
      <w:r>
        <w:t>.</w:t>
      </w:r>
    </w:p>
    <w:p>
      <w:pPr>
        <w:pStyle w:val="Lijstopsomteken1"/>
        <w:numPr>
          <w:ilvl w:val="0"/>
        </w:numPr>
      </w:pPr>
      <w:hyperlink r:id="rId29">
        <w:r>
          <w:rPr>
            <w:rStyle w:val="Hyperlink"/>
          </w:rPr>
          <w:t>Template softwarearchitectuurdocument</w:t>
        </w:r>
      </w:hyperlink>
      <w:r>
        <w:t>.</w:t>
      </w:r>
    </w:p>
    <w:p>
      <w:pPr>
        <w:pStyle w:val="Lijstopsomteken1"/>
        <w:numPr>
          <w:ilvl w:val="0"/>
        </w:numPr>
      </w:pPr>
      <w:hyperlink r:id="rId30">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1">
        <w:r>
          <w:rPr>
            <w:rStyle w:val="Hyperlink"/>
          </w:rPr>
          <w:t>Template mastertestplan</w:t>
        </w:r>
      </w:hyperlink>
      <w:r>
        <w:t>.</w:t>
      </w:r>
    </w:p>
    <w:p>
      <w:pPr>
        <w:pStyle w:val="Lijstopsomteken1"/>
        <w:numPr>
          <w:ilvl w:val="0"/>
        </w:numPr>
      </w:pPr>
      <w:hyperlink r:id="rId32">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Belangrijkste bronnen voor het informatiebeveiligingsplan zijn de projectstartarchitectuur (PSA), business impact analyse (BIA), data protection impact assessment (DPIA)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PSA, de BIA, een eventuele DPIA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3">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Samenhang voorfaseproducten</w:t>
      </w:r>
    </w:p>
    <w:p/>
    <w:p>
      <w:r>
        <w:drawing>
          <wp:inline xmlns:a="http://schemas.openxmlformats.org/drawingml/2006/main" xmlns:pic="http://schemas.openxmlformats.org/drawingml/2006/picture">
            <wp:extent cx="5400000" cy="3216237"/>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4"/>
                    <a:stretch>
                      <a:fillRect/>
                    </a:stretch>
                  </pic:blipFill>
                  <pic:spPr>
                    <a:xfrm>
                      <a:off x="0" y="0"/>
                      <a:ext cx="5400000" cy="3216237"/>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r>
        <w:t>Omdat in de praktijk niet alle informatie uit business impact analyse, data protection impact assessment en impact assessment mensenrechten en algoritmes in detail in de projectstartarchitectuur kan worden opgenomen stelt opdrachtgever deze documenten ook ter beschikking aan het project. Projectmedewerkers kunnen zo deze documenten raadplegen bij het opstellen van de functionele en niet-functionele eisen en het informatiebeveiligingsplan.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genoemde producten die voor start beschikbaar zijn hebben tot doel om de benodigde omvang, kosten en doorlooptijd van de voorfase te kunnen schatten. De projectstartarchitectuur inclusief de daarvoor uitgevoerde assessments (BIA, DPIA en IAMA) vormen input voor de tijdens de voorfase te ontwikkelen producten zoals functionele en niet-functionele eisen, informatiebeveiligingsplan, functioneel ontwerp en softwarearchitectuur.</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r>
        <w:t>De voorgeschreven producten uit de realisatiefase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pPr>
        <w:pStyle w:val="Kop2"/>
      </w:pPr>
      <w:r>
        <w:t>M32: Het project onderzoekt de kwaliteit van over te nemen software</w:t>
      </w:r>
    </w:p>
    <w:p>
      <w:pPr>
        <w:pStyle w:val="Maatregel"/>
      </w:pP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ontvangt en levert in elke fase vastgestelde producten en informatie</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19"/>
        </w:numPr>
      </w:pPr>
      <w:r>
        <w:t>,</w:t>
      </w:r>
    </w:p>
    <w:p>
      <w:pPr>
        <w:pStyle w:val="Lijstnummering1"/>
        <w:numPr>
          <w:ilvl w:val="0"/>
          <w:numId w:val="19"/>
        </w:numPr>
      </w:pPr>
      <w:r>
        <w:t>, en</w:t>
      </w:r>
    </w:p>
    <w:p>
      <w:pPr>
        <w:pStyle w:val="Lijstnummering1"/>
        <w:numPr>
          <w:ilvl w:val="0"/>
          <w:numId w:val="19"/>
        </w:numPr>
      </w:pPr>
      <w:r>
        <w:t>.</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ontvangt en levert in elke fase vastgestelde producten en informatie</w:t>
      </w:r>
      <w:r>
        <w:t>.</w:t>
      </w:r>
    </w:p>
    <w:p>
      <w:r>
        <w:t>Om continu te bewaken dat het product aan de kwaliteitsnormen voldoet, voert het project de volgende activiteiten uit:</w:t>
      </w:r>
    </w:p>
    <w:p>
      <w:pPr>
        <w:pStyle w:val="Lijstnummering1"/>
        <w:numPr>
          <w:ilvl w:val="0"/>
          <w:numId w:val="20"/>
        </w:numPr>
      </w:pPr>
      <w:r>
        <w:t>,</w:t>
      </w:r>
    </w:p>
    <w:p>
      <w:pPr>
        <w:pStyle w:val="Lijstnummering1"/>
        <w:numPr>
          <w:ilvl w:val="0"/>
          <w:numId w:val="20"/>
        </w:numPr>
      </w:pPr>
      <w:r>
        <w:t>,</w:t>
      </w:r>
    </w:p>
    <w:p>
      <w:pPr>
        <w:pStyle w:val="Lijstnummering1"/>
        <w:numPr>
          <w:ilvl w:val="0"/>
          <w:numId w:val="20"/>
        </w:numPr>
      </w:pPr>
      <w:r>
        <w:t>,</w:t>
      </w:r>
    </w:p>
    <w:p>
      <w:pPr>
        <w:pStyle w:val="Lijstnummering1"/>
        <w:numPr>
          <w:ilvl w:val="0"/>
          <w:numId w:val="20"/>
        </w:numPr>
      </w:pPr>
      <w:r>
        <w:t>,</w:t>
      </w:r>
    </w:p>
    <w:p>
      <w:pPr>
        <w:pStyle w:val="Lijstnummering1"/>
        <w:numPr>
          <w:ilvl w:val="0"/>
          <w:numId w:val="20"/>
        </w:numPr>
      </w:pPr>
      <w:r>
        <w:t>,</w:t>
      </w:r>
    </w:p>
    <w:p>
      <w:pPr>
        <w:pStyle w:val="Lijstnummering1"/>
        <w:numPr>
          <w:ilvl w:val="0"/>
          <w:numId w:val="20"/>
        </w:numPr>
      </w:pPr>
      <w:r>
        <w:t>.</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M04: Het project borgt de correcte werking van het product met geautomatiseerde regressietests</w:t>
      </w:r>
    </w:p>
    <w:p>
      <w:pPr>
        <w:pStyle w:val="Maatregel"/>
      </w:pP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r>
        <w:t>Performance- en beveiligingstests op de software zijn ook onderdeel van de continuous delivery pipeline, maar vanwege doorlooptijden en licenties is dat niet altijd haalbaar; in dat geval vinden de performance- en beveiligingstests zo veel mogelijk, en bij voorkeur dagelijks, plaats. Performance- en beveiligingstests op de software vinden plaats in de testomgeving van het project. Als ICTU verantwoordelijk is voor het operationeel beheer laat ICTU de performance- en beveiligingstesten op de software (ook) uitvoeren in een productie-like omgeving.</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r>
        <w:t>ICTU adviseert en ondersteunt voor de hieronder genoemde taken specifieke tools. Projecten gebruiken deze tools, of gelijkwaardige alternatieven.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Activiteit</w:t>
            </w:r>
          </w:p>
        </w:tc>
        <w:tc>
          <w:tcPr>
            <w:tcW w:type="auto" w:w="4535"/>
          </w:tcPr>
          <w:p>
            <w:pPr>
              <w:jc w:val="left"/>
            </w:pPr>
            <w:r>
              <w:t>Tools</w:t>
            </w:r>
          </w:p>
        </w:tc>
      </w:tr>
      <w:tr>
        <w:tc>
          <w:tcPr>
            <w:tcW w:type="auto" w:w="4535"/>
          </w:tcPr>
          <w:p>
            <w:pPr>
              <w:jc w:val="left"/>
            </w:pPr>
          </w:p>
        </w:tc>
        <w:tc>
          <w:tcPr>
            <w:tcW w:type="auto" w:w="4535"/>
          </w:tcPr>
          <w:p>
            <w:pPr>
              <w:jc w:val="left"/>
            </w:pPr>
            <w:r>
              <w:t>Azure DevOps of Jira</w:t>
            </w:r>
          </w:p>
        </w:tc>
      </w:tr>
      <w:tr>
        <w:tc>
          <w:tcPr>
            <w:tcW w:type="auto" w:w="4535"/>
          </w:tcPr>
          <w:p>
            <w:pPr>
              <w:jc w:val="left"/>
            </w:pPr>
          </w:p>
        </w:tc>
        <w:tc>
          <w:tcPr>
            <w:tcW w:type="auto" w:w="4535"/>
          </w:tcPr>
          <w:p>
            <w:pPr>
              <w:jc w:val="left"/>
            </w:pPr>
            <w:r>
              <w:t>Jenkins, GitLab CI/CD (Continuous Integration, Delivery, and Deployment) of Azure DevOps</w:t>
            </w:r>
          </w:p>
        </w:tc>
      </w:tr>
      <w:tr>
        <w:tc>
          <w:tcPr>
            <w:tcW w:type="auto" w:w="4535"/>
          </w:tcPr>
          <w:p>
            <w:pPr>
              <w:jc w:val="left"/>
            </w:pPr>
          </w:p>
        </w:tc>
        <w:tc>
          <w:tcPr>
            <w:tcW w:type="auto" w:w="4535"/>
          </w:tcPr>
          <w:p>
            <w:pPr>
              <w:jc w:val="left"/>
            </w:pPr>
            <w:r>
              <w:t>SonarQube</w:t>
            </w:r>
          </w:p>
        </w:tc>
      </w:tr>
      <w:tr>
        <w:tc>
          <w:tcPr>
            <w:tcW w:type="auto" w:w="4535"/>
          </w:tcPr>
          <w:p>
            <w:pPr>
              <w:jc w:val="left"/>
            </w:pPr>
          </w:p>
        </w:tc>
        <w:tc>
          <w:tcPr>
            <w:tcW w:type="auto" w:w="4535"/>
          </w:tcPr>
          <w:p>
            <w:pPr>
              <w:jc w:val="left"/>
            </w:pPr>
            <w:r>
              <w:t>GitLab of Azure DevOps</w:t>
            </w:r>
          </w:p>
        </w:tc>
      </w:tr>
      <w:tr>
        <w:tc>
          <w:tcPr>
            <w:tcW w:type="auto" w:w="4535"/>
          </w:tcPr>
          <w:p>
            <w:pPr>
              <w:jc w:val="left"/>
            </w:pPr>
          </w:p>
        </w:tc>
        <w:tc>
          <w:tcPr>
            <w:tcW w:type="auto" w:w="4535"/>
          </w:tcPr>
          <w:p>
            <w:pPr>
              <w:jc w:val="left"/>
            </w:pPr>
            <w:r>
              <w:t>Releaseserver in het ontwikkelplatform</w:t>
            </w:r>
          </w:p>
        </w:tc>
      </w:tr>
      <w:tr>
        <w:tc>
          <w:tcPr>
            <w:tcW w:type="auto" w:w="4535"/>
          </w:tcPr>
          <w:p>
            <w:pPr>
              <w:jc w:val="left"/>
            </w:pPr>
          </w:p>
        </w:tc>
        <w:tc>
          <w:tcPr>
            <w:tcW w:type="auto" w:w="4535"/>
          </w:tcPr>
          <w:p>
            <w:pPr>
              <w:jc w:val="left"/>
            </w:pPr>
            <w:r>
              <w:t>JUnit, Robot Framework, TestNG, of hiermee compatible tools</w:t>
            </w:r>
          </w:p>
        </w:tc>
      </w:tr>
      <w:tr>
        <w:tc>
          <w:tcPr>
            <w:tcW w:type="auto" w:w="4535"/>
          </w:tcPr>
          <w:p>
            <w:pPr>
              <w:jc w:val="left"/>
            </w:pPr>
          </w:p>
        </w:tc>
        <w:tc>
          <w:tcPr>
            <w:tcW w:type="auto" w:w="4535"/>
          </w:tcPr>
          <w:p>
            <w:pPr>
              <w:jc w:val="left"/>
            </w:pPr>
            <w:r>
              <w:t>Quality-time</w:t>
            </w:r>
          </w:p>
        </w:tc>
      </w:tr>
      <w:tr>
        <w:tc>
          <w:tcPr>
            <w:tcW w:type="auto" w:w="4535"/>
          </w:tcPr>
          <w:p>
            <w:pPr>
              <w:jc w:val="left"/>
            </w:pPr>
          </w:p>
        </w:tc>
        <w:tc>
          <w:tcPr>
            <w:tcW w:type="auto" w:w="4535"/>
          </w:tcPr>
          <w:p>
            <w:pPr>
              <w:jc w:val="left"/>
            </w:pPr>
            <w:r>
              <w:t>OWASP (Open Web Application Security Project) Dependency-Check en/of Dependency-Track</w:t>
            </w:r>
          </w:p>
        </w:tc>
      </w:tr>
      <w:tr>
        <w:tc>
          <w:tcPr>
            <w:tcW w:type="auto" w:w="4535"/>
          </w:tcPr>
          <w:p>
            <w:pPr>
              <w:jc w:val="left"/>
            </w:pPr>
          </w:p>
        </w:tc>
        <w:tc>
          <w:tcPr>
            <w:tcW w:type="auto" w:w="4535"/>
          </w:tcPr>
          <w:p>
            <w:pPr>
              <w:jc w:val="left"/>
            </w:pPr>
            <w:r>
              <w:t>SonarQube</w:t>
            </w:r>
          </w:p>
        </w:tc>
      </w:tr>
      <w:tr>
        <w:tc>
          <w:tcPr>
            <w:tcW w:type="auto" w:w="4535"/>
          </w:tcPr>
          <w:p>
            <w:pPr>
              <w:jc w:val="left"/>
            </w:pPr>
          </w:p>
        </w:tc>
        <w:tc>
          <w:tcPr>
            <w:tcW w:type="auto" w:w="4535"/>
          </w:tcPr>
          <w:p>
            <w:pPr>
              <w:jc w:val="left"/>
            </w:pPr>
            <w:r>
              <w:t>ZAP (Zed Attack Proxy) by Checkmarx</w:t>
            </w:r>
          </w:p>
        </w:tc>
      </w:tr>
      <w:tr>
        <w:tc>
          <w:tcPr>
            <w:tcW w:type="auto" w:w="4535"/>
          </w:tcPr>
          <w:p>
            <w:pPr>
              <w:jc w:val="left"/>
            </w:pPr>
          </w:p>
        </w:tc>
        <w:tc>
          <w:tcPr>
            <w:tcW w:type="auto" w:w="4535"/>
          </w:tcPr>
          <w:p>
            <w:pPr>
              <w:jc w:val="left"/>
            </w:pPr>
            <w:r>
              <w:t>Trivy</w:t>
            </w:r>
          </w:p>
        </w:tc>
      </w:tr>
      <w:tr>
        <w:tc>
          <w:tcPr>
            <w:tcW w:type="auto" w:w="4535"/>
          </w:tcPr>
          <w:p>
            <w:pPr>
              <w:jc w:val="left"/>
            </w:pPr>
          </w:p>
        </w:tc>
        <w:tc>
          <w:tcPr>
            <w:tcW w:type="auto" w:w="4535"/>
          </w:tcPr>
          <w:p>
            <w:pPr>
              <w:jc w:val="left"/>
            </w:pPr>
            <w:r>
              <w:t>JMeter en Performancetestrunner</w:t>
            </w:r>
          </w:p>
        </w:tc>
      </w:tr>
      <w:tr>
        <w:tc>
          <w:tcPr>
            <w:tcW w:type="auto" w:w="4535"/>
          </w:tcPr>
          <w:p>
            <w:pPr>
              <w:jc w:val="left"/>
            </w:pPr>
          </w:p>
        </w:tc>
        <w:tc>
          <w:tcPr>
            <w:tcW w:type="auto" w:w="4535"/>
          </w:tcPr>
          <w:p>
            <w:pPr>
              <w:jc w:val="left"/>
            </w:pPr>
            <w:r>
              <w:t>Axe</w:t>
            </w:r>
          </w:p>
        </w:tc>
      </w:tr>
      <w:tr>
        <w:tc>
          <w:tcPr>
            <w:tcW w:type="auto" w:w="4535"/>
          </w:tcPr>
          <w:p>
            <w:pPr>
              <w:jc w:val="left"/>
            </w:pPr>
          </w:p>
        </w:tc>
        <w:tc>
          <w:tcPr>
            <w:tcW w:type="auto" w:w="4535"/>
          </w:tcPr>
          <w:p>
            <w:pPr>
              <w:jc w:val="left"/>
            </w:pPr>
            <w:r>
              <w:t>Tools die een SBoM in CycloneDX-formaat (zie https://cyclonedx.org) genereren</w:t>
            </w:r>
          </w:p>
        </w:tc>
      </w:tr>
      <w:tr>
        <w:tc>
          <w:tcPr>
            <w:tcW w:type="auto" w:w="4535"/>
          </w:tcPr>
          <w:p>
            <w:pPr>
              <w:jc w:val="left"/>
            </w:pPr>
          </w:p>
        </w:tc>
        <w:tc>
          <w:tcPr>
            <w:tcW w:type="auto" w:w="4535"/>
          </w:tcPr>
          <w:p>
            <w:pPr>
              <w:jc w:val="left"/>
            </w:pPr>
            <w:r>
              <w:t>Nexus of Harbor</w:t>
            </w:r>
          </w:p>
        </w:tc>
      </w:tr>
      <w:tr>
        <w:tc>
          <w:tcPr>
            <w:tcW w:type="auto" w:w="4535"/>
          </w:tcPr>
          <w:p>
            <w:pPr>
              <w:jc w:val="left"/>
            </w:pPr>
          </w:p>
        </w:tc>
        <w:tc>
          <w:tcPr>
            <w:tcW w:type="auto" w:w="4535"/>
          </w:tcPr>
          <w:p>
            <w:pPr>
              <w:jc w:val="left"/>
            </w:pPr>
            <w:r>
              <w:t>Jira</w:t>
            </w:r>
          </w:p>
        </w:tc>
      </w:tr>
      <w:tr>
        <w:tc>
          <w:tcPr>
            <w:tcW w:type="auto" w:w="4535"/>
          </w:tcPr>
          <w:p>
            <w:pPr>
              <w:jc w:val="left"/>
            </w:pPr>
          </w:p>
        </w:tc>
        <w:tc>
          <w:tcPr>
            <w:tcW w:type="auto" w:w="4535"/>
          </w:tcPr>
          <w:p>
            <w:pPr>
              <w:jc w:val="left"/>
            </w:pPr>
            <w:r>
              <w:t>Ansible</w:t>
            </w:r>
          </w:p>
        </w:tc>
      </w:tr>
    </w:tbl>
    <w:p>
      <w:r>
        <w:t>N.B. 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product backlog en de iteraties als sprints. Het toewijzen van eisen aan iteraties gebeurt via de sprint backlog.</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 Penetratietesten op de software vinden plaats in de testomgeving van het project. Als ICTU verantwoordelijk is voor het operationeel beheer laat ICTU de penetratietesten op de software (ook) uitvoeren in een productie-like omgeving.</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product backlog.</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ontvangt en levert in elke fase vastgestelde producten en informatie</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kennis van en ervaring met de Kwaliteitsaanpak</w:t>
      </w:r>
    </w:p>
    <w:p>
      <w:pPr>
        <w:pStyle w:val="Maatregel"/>
      </w:pPr>
    </w:p>
    <w:p>
      <w:pPr>
        <w:pStyle w:val="Maatregel"/>
      </w:pPr>
      <w:r>
        <w:t>De software delivery manager zorgt ervoor dat bij nieuwe projecten wordt gestart met ten minste twee projectleden die bekend zijn met de Kwaliteitsaanpak. Projectleden, inclusief projectleider, die nog niet bekend zijn met de Kwaliteitsaanpak krijgen uitleg over de inhoud en achtergrond van de Kwaliteitsaanpak.</w:t>
      </w:r>
    </w:p>
    <w:p>
      <w:pPr>
        <w:pStyle w:val="Kop3"/>
      </w:pPr>
      <w:r>
        <w:t>Rationale</w:t>
      </w:r>
    </w:p>
    <w:p>
      <w:r>
        <w:t>Het inzetten van projectleden die bekend zijn met de Kwaliteitsaanpak zorgt voor een soepeler start van een nieuw project omdat zij bekend zijn met de inhoud van de Kwaliteitsaanpak, zoals kwaliteitsnormen en tools, en omdat zij al doende nieuwe projectleden bekend kunnen maken met de Kwaliteitsaanpak.</w:t>
      </w:r>
    </w:p>
    <w:p>
      <w:pPr>
        <w:pStyle w:val="Kop2"/>
      </w:pPr>
      <w:r>
        <w:t>M05: Het project hanteert een iteratief en incrementeel ontwikkelproces</w:t>
      </w:r>
    </w:p>
    <w:p>
      <w:pPr>
        <w:pStyle w:val="Maatregel"/>
      </w:pP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2"/>
        </w:numPr>
      </w:pPr>
      <w:r>
        <w:t>,</w:t>
      </w:r>
    </w:p>
    <w:p>
      <w:pPr>
        <w:pStyle w:val="Lijstnummering1"/>
        <w:numPr>
          <w:ilvl w:val="0"/>
          <w:numId w:val="22"/>
        </w:numPr>
      </w:pPr>
      <w:r>
        <w:t>,</w:t>
      </w:r>
    </w:p>
    <w:p>
      <w:pPr>
        <w:pStyle w:val="Lijstnummering1"/>
        <w:numPr>
          <w:ilvl w:val="0"/>
          <w:numId w:val="22"/>
        </w:numPr>
      </w:pPr>
      <w:r>
        <w:t>,</w:t>
      </w:r>
    </w:p>
    <w:p>
      <w:pPr>
        <w:pStyle w:val="Lijstnummering1"/>
        <w:numPr>
          <w:ilvl w:val="0"/>
          <w:numId w:val="22"/>
        </w:numPr>
      </w:pPr>
      <w:r>
        <w:t>.</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5">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3"/>
        </w:numPr>
      </w:pPr>
      <w:r>
        <w:t xml:space="preserve"> (5.1),</w:t>
      </w:r>
    </w:p>
    <w:p>
      <w:pPr>
        <w:pStyle w:val="Lijstnummering1"/>
        <w:numPr>
          <w:ilvl w:val="0"/>
          <w:numId w:val="23"/>
        </w:numPr>
      </w:pPr>
      <w:r>
        <w:t xml:space="preserve"> (5.2),</w:t>
      </w:r>
    </w:p>
    <w:p>
      <w:pPr>
        <w:pStyle w:val="Lijstnummering1"/>
        <w:numPr>
          <w:ilvl w:val="0"/>
          <w:numId w:val="23"/>
        </w:numPr>
      </w:pPr>
      <w:r>
        <w:t xml:space="preserve"> (5.3),</w:t>
      </w:r>
    </w:p>
    <w:p>
      <w:pPr>
        <w:pStyle w:val="Lijstnummering1"/>
        <w:numPr>
          <w:ilvl w:val="0"/>
          <w:numId w:val="23"/>
        </w:numPr>
      </w:pPr>
      <w:r>
        <w:t xml:space="preserve"> (5.4),</w:t>
      </w:r>
    </w:p>
    <w:p>
      <w:pPr>
        <w:pStyle w:val="Lijstnummering1"/>
        <w:numPr>
          <w:ilvl w:val="0"/>
          <w:numId w:val="23"/>
        </w:numPr>
      </w:pPr>
      <w:r>
        <w:t xml:space="preserve"> (6.1),</w:t>
      </w:r>
    </w:p>
    <w:p>
      <w:pPr>
        <w:pStyle w:val="Lijstnummering1"/>
        <w:numPr>
          <w:ilvl w:val="0"/>
          <w:numId w:val="23"/>
        </w:numPr>
      </w:pPr>
      <w:r>
        <w:t xml:space="preserve"> (6.2),</w:t>
      </w:r>
    </w:p>
    <w:p>
      <w:pPr>
        <w:pStyle w:val="Lijstnummering1"/>
        <w:numPr>
          <w:ilvl w:val="0"/>
          <w:numId w:val="23"/>
        </w:numPr>
      </w:pPr>
      <w:r>
        <w:t xml:space="preserve"> (6.3),</w:t>
      </w:r>
    </w:p>
    <w:p>
      <w:pPr>
        <w:pStyle w:val="Lijstnummering1"/>
        <w:numPr>
          <w:ilvl w:val="0"/>
          <w:numId w:val="23"/>
        </w:numPr>
      </w:pPr>
      <w:r>
        <w:t xml:space="preserve"> (6.4).</w:t>
      </w:r>
    </w:p>
    <w:p>
      <w:pPr>
        <w:pStyle w:val="Lijstnummering1"/>
        <w:numPr>
          <w:ilvl w:val="0"/>
          <w:numId w:val="23"/>
        </w:numPr>
      </w:pPr>
      <w:r>
        <w:t xml:space="preserve"> (7.1),</w:t>
      </w:r>
    </w:p>
    <w:p>
      <w:pPr>
        <w:pStyle w:val="Lijstnummering1"/>
        <w:numPr>
          <w:ilvl w:val="0"/>
          <w:numId w:val="23"/>
        </w:numPr>
      </w:pPr>
      <w:r>
        <w:t xml:space="preserve"> (7.2),</w:t>
      </w:r>
    </w:p>
    <w:p>
      <w:pPr>
        <w:pStyle w:val="Lijstnummering1"/>
        <w:numPr>
          <w:ilvl w:val="0"/>
          <w:numId w:val="23"/>
        </w:numPr>
      </w:pPr>
      <w:r>
        <w:t xml:space="preserve"> (7.3),</w:t>
      </w:r>
    </w:p>
    <w:p>
      <w:pPr>
        <w:pStyle w:val="Lijstnummering1"/>
        <w:numPr>
          <w:ilvl w:val="0"/>
          <w:numId w:val="23"/>
        </w:numPr>
      </w:pPr>
      <w:r>
        <w:t xml:space="preserve"> (7.4),</w:t>
      </w:r>
    </w:p>
    <w:p>
      <w:pPr>
        <w:pStyle w:val="Lijstnummering1"/>
        <w:numPr>
          <w:ilvl w:val="0"/>
          <w:numId w:val="23"/>
        </w:numPr>
      </w:pPr>
      <w:r>
        <w:t xml:space="preserve"> (7.5), en</w:t>
      </w:r>
    </w:p>
    <w:p>
      <w:pPr>
        <w:pStyle w:val="Lijstnummering1"/>
        <w:numPr>
          <w:ilvl w:val="0"/>
          <w:numId w:val="23"/>
        </w:numPr>
      </w:pPr>
      <w:r>
        <w:t xml:space="preserve">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p>
    <w:p>
      <w:pPr>
        <w:pStyle w:val="Maatregel"/>
      </w:pPr>
      <w:r>
        <w:t>ICTU zorgt voor technische en functionele ondersteuning aan projecten bij het gebruik van alle verplichte tools.</w:t>
      </w:r>
    </w:p>
    <w:p>
      <w:r>
        <w:t xml:space="preserve">ICTU zorgt voor ondersteuning van de in </w:t>
      </w:r>
      <w:r>
        <w:t>M16: Het project gebruikt tools voor vastgestelde taken</w:t>
      </w:r>
      <w:r>
        <w:t xml:space="preserve"> verplicht gestelde tools. Een team van specialisten met kennis, ervaring en capaciteit is beschikbaar voor ondersteuning aan projecten. Projecten zijn verantwoordelijk voor de correcte werking van de pipeline.</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6">
        <w:r>
          <w:rPr>
            <w:rStyle w:val="Hyperlink"/>
          </w:rPr>
          <w:t>Beleid open standaarden</w:t>
        </w:r>
      </w:hyperlink>
      <w:r>
        <w:t>". De voorkeur voor het open source beschikbaar stellen van eigen ontwikkelde tools is conform de "</w:t>
      </w:r>
      <w:hyperlink r:id="rId37">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product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8">
              <w:r>
                <w:rPr>
                  <w:rStyle w:val="Hyperlink"/>
                </w:rPr>
                <w:t>BIO</w:t>
              </w:r>
            </w:hyperlink>
          </w:p>
        </w:tc>
        <w:tc>
          <w:tcPr>
            <w:tcW w:type="auto" w:w="4535"/>
          </w:tcPr>
          <w:p>
            <w:pPr>
              <w:jc w:val="left"/>
            </w:pPr>
            <w:r>
              <w:t>Baseline Informatiebeveiliging Overheid.</w:t>
            </w:r>
          </w:p>
        </w:tc>
      </w:tr>
      <w:tr>
        <w:tc>
          <w:tcPr>
            <w:tcW w:type="auto" w:w="4535"/>
          </w:tcPr>
          <w:p>
            <w:pPr>
              <w:jc w:val="left"/>
            </w:pPr>
            <w:hyperlink r:id="rId3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2">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43">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44">
              <w:r>
                <w:rPr>
                  <w:rStyle w:val="Hyperlink"/>
                </w:rPr>
                <w:t>NEN 7510-2:2024</w:t>
              </w:r>
            </w:hyperlink>
          </w:p>
        </w:tc>
        <w:tc>
          <w:tcPr>
            <w:tcW w:type="auto" w:w="4535"/>
          </w:tcPr>
          <w:p>
            <w:pPr>
              <w:jc w:val="left"/>
            </w:pPr>
          </w:p>
        </w:tc>
      </w:tr>
      <w:tr>
        <w:tc>
          <w:tcPr>
            <w:tcW w:type="auto" w:w="4535"/>
          </w:tcPr>
          <w:p>
            <w:pPr>
              <w:jc w:val="left"/>
            </w:pPr>
            <w:hyperlink r:id="rId4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2">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data protection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p>
    <w:p>
      <w:pPr>
        <w:pStyle w:val="Maatregel"/>
      </w:pPr>
      <w:r>
        <w:t>ICTU publiceert periodiek een nieuwe versie van de Kwaliteitsaanpak en/of de kwaliteitsnormen op een vaste, bekende locatie.</w:t>
      </w:r>
    </w:p>
    <w:p>
      <w:pPr>
        <w:pStyle w:val="Maatregel"/>
      </w:pP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pPr>
        <w:pStyle w:val="Maatregel"/>
      </w:pPr>
    </w:p>
    <w:p>
      <w:pPr>
        <w:pStyle w:val="Maatregel"/>
      </w:pPr>
      <w:r>
        <w:t>ICTU zorgt voor technische en functionele ondersteuning aan projecten bij het gebruik van alle verplichte tools.</w:t>
      </w:r>
    </w:p>
    <w:p>
      <w:pPr>
        <w:pStyle w:val="Maatregel"/>
      </w:pP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p>
    <w:p>
      <w:pPr>
        <w:pStyle w:val="Maatregel"/>
      </w:pPr>
      <w:r>
        <w:t>Bij de inzet van medewerkers gaat kwaliteit boven andere aspecten, zoals beschikbaarheid, prijs en doorlooptijd.</w:t>
      </w:r>
    </w:p>
    <w:p>
      <w:pPr>
        <w:pStyle w:val="Maatregel"/>
      </w:pPr>
    </w:p>
    <w:p>
      <w:pPr>
        <w:pStyle w:val="Maatregel"/>
      </w:pPr>
      <w:r>
        <w:t>De software delivery manager zorgt ervoor dat bij nieuwe projecten wordt gestart met ten minste twee projectleden die bekend zijn met de Kwaliteitsaanpak. Projectleden, inclusief projectleider, die nog niet bekend zijn met de Kwaliteitsaanpak krijgen uitleg over de inhoud en achtergrond van de Kwaliteitsaanpak.</w:t>
      </w:r>
    </w:p>
    <w:p>
      <w:pPr>
        <w:pStyle w:val="Maatregel"/>
      </w:pP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p>
    <w:p>
      <w:pPr>
        <w:pStyle w:val="Maatregel"/>
      </w:pPr>
      <w:r>
        <w:t>De projectleider organiseert periodiek een self-assessment tegen de actuele versie van de Kwaliteitsaanpak en zet verbeteracties uit, waar nodig.</w:t>
      </w:r>
    </w:p>
    <w:p>
      <w:pPr>
        <w:pStyle w:val="Maatregel"/>
      </w:pP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p>
    <w:p>
      <w:pPr>
        <w:pStyle w:val="Maatregel"/>
      </w:pPr>
      <w:r>
        <w:t>Als tijdens een project bestaande software dient te worden afgebouwd, onderhouden en/of herbouwd, vindt een onderzoek plaats naar de kwaliteit van deze software.</w:t>
      </w:r>
    </w:p>
    <w:p>
      <w:pPr>
        <w:pStyle w:val="Maatregel"/>
      </w:pP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ontvangt en levert in elke fase vastgestelde producten en informatie</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ontvangt en levert in elke fase vastgestelde producten en informatie</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informatie over de product backlog en de sprint backlog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html" TargetMode="External"/><Relationship Id="rId17" Type="http://schemas.openxmlformats.org/officeDocument/2006/relationships/hyperlink" Target="https://ictu.github.io/Kwaliteitsaanpak/wip/ICTU-Template-Inwerkplan-Kwaliteitsmanager.docx" TargetMode="External"/><Relationship Id="rId18" Type="http://schemas.openxmlformats.org/officeDocument/2006/relationships/hyperlink" Target="https://www.rijksoverheid.nl/documenten/rapporten/2021/02/25/impact-assessment-mensenrechten-en-algoritmes" TargetMode="External"/><Relationship Id="rId19" Type="http://schemas.openxmlformats.org/officeDocument/2006/relationships/hyperlink" Target="https://www.cip-overheid.nl/media/av0dmahv/20230614-gezamenlijk-gebruik-iama-en-model-dpia-rijksdienst-v1-0.pdf" TargetMode="External"/><Relationship Id="rId20" Type="http://schemas.openxmlformats.org/officeDocument/2006/relationships/hyperlink" Target="https://www.noraonline.nl/wiki/PSA" TargetMode="External"/><Relationship Id="rId21" Type="http://schemas.openxmlformats.org/officeDocument/2006/relationships/hyperlink" Target="https://www.noraonline.nl/wiki/Solution-architectuur" TargetMode="External"/><Relationship Id="rId22" Type="http://schemas.openxmlformats.org/officeDocument/2006/relationships/hyperlink" Target="https://ictu.github.io/Kwaliteitsaanpak/wip/ICTU-Template-Plan-van-Aanpak-Voorfase.docx" TargetMode="External"/><Relationship Id="rId23" Type="http://schemas.openxmlformats.org/officeDocument/2006/relationships/hyperlink" Target="https://ictu.github.io/Kwaliteitsaanpak/wip/ICTU-Template-Plan-van-Aanpak-Realisatiefase.docx" TargetMode="External"/><Relationship Id="rId24" Type="http://schemas.openxmlformats.org/officeDocument/2006/relationships/hyperlink" Target="https://www.digitoegankelijk.nl/wetgeving/toegankelijkheidsverklaring" TargetMode="External"/><Relationship Id="rId25" Type="http://schemas.openxmlformats.org/officeDocument/2006/relationships/hyperlink" Target="https://ictu.github.io/Kwaliteitsaanpak/wip/Neutraal-Template-Niet-Functionele-Eisen.docx" TargetMode="External"/><Relationship Id="rId26" Type="http://schemas.openxmlformats.org/officeDocument/2006/relationships/hyperlink" Target="https://www.scrumguides.org/scrum-guide.html#artifacts-productbacklog" TargetMode="External"/><Relationship Id="rId27" Type="http://schemas.openxmlformats.org/officeDocument/2006/relationships/hyperlink" Target="https://www.win.tue.nl/~wstomv/edu/2ip30/references/Kruchten-4+1-view.pdf" TargetMode="External"/><Relationship Id="rId28" Type="http://schemas.openxmlformats.org/officeDocument/2006/relationships/hyperlink" Target="https://ictu.github.io/Kwaliteitsaanpak/wip/ICTU-Template-Globaal-Functioneel-Ontwerp.docx" TargetMode="External"/><Relationship Id="rId29" Type="http://schemas.openxmlformats.org/officeDocument/2006/relationships/hyperlink" Target="https://ictu.github.io/Kwaliteitsaanpak/wip/ICTU-Template-Software-architectuurdocument.docx" TargetMode="External"/><Relationship Id="rId30" Type="http://schemas.openxmlformats.org/officeDocument/2006/relationships/hyperlink" Target="https://ictu.github.io/Kwaliteitsaanpak/wip/Neutraal-Template-Infrastructuurarchitectuur.docx" TargetMode="External"/><Relationship Id="rId31" Type="http://schemas.openxmlformats.org/officeDocument/2006/relationships/hyperlink" Target="https://ictu.github.io/Kwaliteitsaanpak/wip/Neutraal-Template-Mastertestplan.docx" TargetMode="External"/><Relationship Id="rId32" Type="http://schemas.openxmlformats.org/officeDocument/2006/relationships/hyperlink" Target="https://ictu.github.io/Kwaliteitsaanpak/wip/ICTU-Template-Detailtestplan-Softwarerealisatie.docx" TargetMode="External"/><Relationship Id="rId33" Type="http://schemas.openxmlformats.org/officeDocument/2006/relationships/hyperlink" Target="https://ictu.github.io/Kwaliteitsaanpak/wip/ICTU-Template-Kwaliteitsplan.docx" TargetMode="External"/><Relationship Id="rId34" Type="http://schemas.openxmlformats.org/officeDocument/2006/relationships/image" Target="media/image3.png"/><Relationship Id="rId35" Type="http://schemas.openxmlformats.org/officeDocument/2006/relationships/hyperlink" Target="https://ictu.github.io/Kwaliteitsaanpak/wip/ICTU-Kwaliteitsaanpak-Checklist.xlsx" TargetMode="External"/><Relationship Id="rId36" Type="http://schemas.openxmlformats.org/officeDocument/2006/relationships/hyperlink" Target="https://www.noraonline.nl/wiki/Beleid_open_standaarden" TargetMode="External"/><Relationship Id="rId37" Type="http://schemas.openxmlformats.org/officeDocument/2006/relationships/hyperlink" Target="https://www.rijksoverheid.nl/documenten/kamerstukken/2020/04/17/kamerbrief-inzake-vrijgeven-broncode-overheidssoftware" TargetMode="External"/><Relationship Id="rId38" Type="http://schemas.openxmlformats.org/officeDocument/2006/relationships/hyperlink" Target="https://bio-overheid.nl/media/1572/bio-versie-104zv_def.pdf" TargetMode="External"/><Relationship Id="rId39" Type="http://schemas.openxmlformats.org/officeDocument/2006/relationships/hyperlink" Target="https://www.iso.org/standard/77520.html" TargetMode="External"/><Relationship Id="rId40" Type="http://schemas.openxmlformats.org/officeDocument/2006/relationships/hyperlink" Target="https://www.ncsc.nl/documenten/publicaties/2019/mei/01/ict-beveiligingsrichtlijnen-voor-webapplicaties" TargetMode="External"/><Relationship Id="rId41" Type="http://schemas.openxmlformats.org/officeDocument/2006/relationships/hyperlink" Target="https://www.nen.nl/nen-iso-iec-25010-2023-en-318088" TargetMode="External"/><Relationship Id="rId42" Type="http://schemas.openxmlformats.org/officeDocument/2006/relationships/hyperlink" Target="https://www.nen.nl/nen-en-iso-iec-27001-2023-nl-314206" TargetMode="External"/><Relationship Id="rId43" Type="http://schemas.openxmlformats.org/officeDocument/2006/relationships/hyperlink" Target="https://www.nen.nl/nen-en-iso-iec-27002-2022-nl-304509" TargetMode="External"/><Relationship Id="rId44" Type="http://schemas.openxmlformats.org/officeDocument/2006/relationships/hyperlink" Target="https://www.nen.nl/nen-7510-2-2024-nl-331314" TargetMode="External"/><Relationship Id="rId45" Type="http://schemas.openxmlformats.org/officeDocument/2006/relationships/hyperlink" Target="https://www.nen.nl/npr-5325-2017-nl-238298" TargetMode="External"/><Relationship Id="rId46" Type="http://schemas.openxmlformats.org/officeDocument/2006/relationships/hyperlink" Target="https://www.nen.nl/npr-5326-2019-nl-262885" TargetMode="External"/><Relationship Id="rId47" Type="http://schemas.openxmlformats.org/officeDocument/2006/relationships/hyperlink" Target="https://www.noraonline.nl" TargetMode="External"/><Relationship Id="rId48" Type="http://schemas.openxmlformats.org/officeDocument/2006/relationships/hyperlink" Target="https://owasp.org/www-project-top-ten/" TargetMode="External"/><Relationship Id="rId49" Type="http://schemas.openxmlformats.org/officeDocument/2006/relationships/hyperlink" Target="https://scrumguides.org/docs/scrumguide/v2020/2020-Scrum-Guide-Dutch.pdf" TargetMode="External"/><Relationship Id="rId50" Type="http://schemas.openxmlformats.org/officeDocument/2006/relationships/hyperlink" Target="https://wetten.overheid.nl/BWBR0022141/2007-07-01" TargetMode="External"/><Relationship Id="rId51" Type="http://schemas.openxmlformats.org/officeDocument/2006/relationships/hyperlink" Target="https://wetten.overheid.nl/BWBR0033507/2013-06-01" TargetMode="External"/><Relationship Id="rId52" Type="http://schemas.openxmlformats.org/officeDocument/2006/relationships/hyperlink" Target="https://wetten.overheid.nl/BWBR0041515/2024-10-0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