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02-10-2025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16">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7">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Een IAMA wordt ingezet in alle gevallen waarin een overheidsorgaan overweegt een algoritme te (laten) ontwikkelen, in te kopen, aan te passen en/of in te gaan zetten.</w:t>
      </w:r>
    </w:p>
    <w:p>
      <w:r>
        <w:t xml:space="preserve">Zie </w:t>
      </w:r>
      <w:hyperlink r:id="rId18">
        <w:r>
          <w:rPr>
            <w:rStyle w:val="Hyperlink"/>
          </w:rPr>
          <w:t>https://www.rijksoverheid.nl/documenten/rapporten/2021/02/25/impact-assessment-mensenrechten-en-algoritmes</w:t>
        </w:r>
      </w:hyperlink>
      <w:r>
        <w:t>.</w:t>
      </w:r>
    </w:p>
    <w:p>
      <w:r>
        <w:t xml:space="preserve">Voor meer informatie over het gezamenlijk gebruik van IAMA en DPIA, zie </w:t>
      </w:r>
      <w:hyperlink r:id="rId19">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0">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1">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2">
        <w:r>
          <w:rPr>
            <w:rStyle w:val="Hyperlink"/>
          </w:rPr>
          <w:t>Template plan van aanpak voorfase</w:t>
        </w:r>
      </w:hyperlink>
      <w:r>
        <w:t>.</w:t>
      </w:r>
    </w:p>
    <w:p>
      <w:pPr>
        <w:pStyle w:val="Lijstopsomteken1"/>
        <w:numPr>
          <w:ilvl w:val="0"/>
        </w:numPr>
      </w:pPr>
      <w:hyperlink r:id="rId23">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4">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5">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6">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7">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8">
        <w:r>
          <w:rPr>
            <w:rStyle w:val="Hyperlink"/>
          </w:rPr>
          <w:t>Template globaal functioneel ontwerp</w:t>
        </w:r>
      </w:hyperlink>
      <w:r>
        <w:t>.</w:t>
      </w:r>
    </w:p>
    <w:p>
      <w:pPr>
        <w:pStyle w:val="Lijstopsomteken1"/>
        <w:numPr>
          <w:ilvl w:val="0"/>
        </w:numPr>
      </w:pPr>
      <w:hyperlink r:id="rId29">
        <w:r>
          <w:rPr>
            <w:rStyle w:val="Hyperlink"/>
          </w:rPr>
          <w:t>Template softwarearchitectuurdocument</w:t>
        </w:r>
      </w:hyperlink>
      <w:r>
        <w:t>.</w:t>
      </w:r>
    </w:p>
    <w:p>
      <w:pPr>
        <w:pStyle w:val="Lijstopsomteken1"/>
        <w:numPr>
          <w:ilvl w:val="0"/>
        </w:numPr>
      </w:pPr>
      <w:hyperlink r:id="rId30">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1">
        <w:r>
          <w:rPr>
            <w:rStyle w:val="Hyperlink"/>
          </w:rPr>
          <w:t>Template mastertestplan</w:t>
        </w:r>
      </w:hyperlink>
      <w:r>
        <w:t>.</w:t>
      </w:r>
    </w:p>
    <w:p>
      <w:pPr>
        <w:pStyle w:val="Lijstopsomteken1"/>
        <w:numPr>
          <w:ilvl w:val="0"/>
        </w:numPr>
      </w:pPr>
      <w:hyperlink r:id="rId32">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3">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4"/>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w:t>
      </w:r>
    </w:p>
    <w:p>
      <w:pPr>
        <w:pStyle w:val="Lijstnummering1"/>
        <w:numPr>
          <w:ilvl w:val="0"/>
          <w:numId w:val="19"/>
        </w:numPr>
      </w:pPr>
      <w:r>
        <w:t>, en</w:t>
      </w:r>
    </w:p>
    <w:p>
      <w:pPr>
        <w:pStyle w:val="Lijstnummering1"/>
        <w:numPr>
          <w:ilvl w:val="0"/>
          <w:numId w:val="19"/>
        </w:numPr>
      </w:pPr>
      <w:r>
        <w:t>.</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pPr>
        <w:pStyle w:val="Lijstnummering1"/>
        <w:numPr>
          <w:ilvl w:val="0"/>
          <w:numId w:val="20"/>
        </w:numPr>
      </w:pPr>
      <w:r>
        <w:t>.</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pPr>
        <w:pStyle w:val="Lijstnummering1"/>
        <w:numPr>
          <w:ilvl w:val="0"/>
          <w:numId w:val="21"/>
        </w:numPr>
      </w:pPr>
      <w:r>
        <w:t>.</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p>
        </w:tc>
        <w:tc>
          <w:tcPr>
            <w:tcW w:type="auto" w:w="4535"/>
          </w:tcPr>
          <w:p>
            <w:pPr>
              <w:jc w:val="left"/>
            </w:pPr>
            <w:r>
              <w:t>Azure DevOps of Jira</w:t>
            </w:r>
          </w:p>
        </w:tc>
      </w:tr>
      <w:tr>
        <w:tc>
          <w:tcPr>
            <w:tcW w:type="auto" w:w="4535"/>
          </w:tcPr>
          <w:p>
            <w:pPr>
              <w:jc w:val="left"/>
            </w:pPr>
          </w:p>
        </w:tc>
        <w:tc>
          <w:tcPr>
            <w:tcW w:type="auto" w:w="4535"/>
          </w:tcPr>
          <w:p>
            <w:pPr>
              <w:jc w:val="left"/>
            </w:pPr>
            <w:r>
              <w:t>Jenkins, GitLab CI/CD (Continuous Integration, Delivery, and Deployment) of Azure DevOps</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GitLab of Azure DevOps</w:t>
            </w:r>
          </w:p>
        </w:tc>
      </w:tr>
      <w:tr>
        <w:tc>
          <w:tcPr>
            <w:tcW w:type="auto" w:w="4535"/>
          </w:tcPr>
          <w:p>
            <w:pPr>
              <w:jc w:val="left"/>
            </w:pPr>
          </w:p>
        </w:tc>
        <w:tc>
          <w:tcPr>
            <w:tcW w:type="auto" w:w="4535"/>
          </w:tcPr>
          <w:p>
            <w:pPr>
              <w:jc w:val="left"/>
            </w:pPr>
            <w:r>
              <w:t>Releaseserver in het ontwikkelplatform</w:t>
            </w:r>
          </w:p>
        </w:tc>
      </w:tr>
      <w:tr>
        <w:tc>
          <w:tcPr>
            <w:tcW w:type="auto" w:w="4535"/>
          </w:tcPr>
          <w:p>
            <w:pPr>
              <w:jc w:val="left"/>
            </w:pPr>
          </w:p>
        </w:tc>
        <w:tc>
          <w:tcPr>
            <w:tcW w:type="auto" w:w="4535"/>
          </w:tcPr>
          <w:p>
            <w:pPr>
              <w:jc w:val="left"/>
            </w:pPr>
            <w:r>
              <w:t>JUnit, Robot Framework, TestNG, of hiermee compatible tools</w:t>
            </w:r>
          </w:p>
        </w:tc>
      </w:tr>
      <w:tr>
        <w:tc>
          <w:tcPr>
            <w:tcW w:type="auto" w:w="4535"/>
          </w:tcPr>
          <w:p>
            <w:pPr>
              <w:jc w:val="left"/>
            </w:pPr>
          </w:p>
        </w:tc>
        <w:tc>
          <w:tcPr>
            <w:tcW w:type="auto" w:w="4535"/>
          </w:tcPr>
          <w:p>
            <w:pPr>
              <w:jc w:val="left"/>
            </w:pPr>
            <w:r>
              <w:t>Quality-time</w:t>
            </w:r>
          </w:p>
        </w:tc>
      </w:tr>
      <w:tr>
        <w:tc>
          <w:tcPr>
            <w:tcW w:type="auto" w:w="4535"/>
          </w:tcPr>
          <w:p>
            <w:pPr>
              <w:jc w:val="left"/>
            </w:pPr>
          </w:p>
        </w:tc>
        <w:tc>
          <w:tcPr>
            <w:tcW w:type="auto" w:w="4535"/>
          </w:tcPr>
          <w:p>
            <w:pPr>
              <w:jc w:val="left"/>
            </w:pPr>
            <w:r>
              <w:t>OWASP (Open Web Application Security Project) Dependency-Check en/of Dependency-Track</w:t>
            </w:r>
          </w:p>
        </w:tc>
      </w:tr>
      <w:tr>
        <w:tc>
          <w:tcPr>
            <w:tcW w:type="auto" w:w="4535"/>
          </w:tcPr>
          <w:p>
            <w:pPr>
              <w:jc w:val="left"/>
            </w:pPr>
          </w:p>
        </w:tc>
        <w:tc>
          <w:tcPr>
            <w:tcW w:type="auto" w:w="4535"/>
          </w:tcPr>
          <w:p>
            <w:pPr>
              <w:jc w:val="left"/>
            </w:pPr>
            <w:r>
              <w:t>SonarQube</w:t>
            </w:r>
          </w:p>
        </w:tc>
      </w:tr>
      <w:tr>
        <w:tc>
          <w:tcPr>
            <w:tcW w:type="auto" w:w="4535"/>
          </w:tcPr>
          <w:p>
            <w:pPr>
              <w:jc w:val="left"/>
            </w:pPr>
          </w:p>
        </w:tc>
        <w:tc>
          <w:tcPr>
            <w:tcW w:type="auto" w:w="4535"/>
          </w:tcPr>
          <w:p>
            <w:pPr>
              <w:jc w:val="left"/>
            </w:pPr>
            <w:r>
              <w:t>ZAP (Zed Attack Proxy) by Checkmarx</w:t>
            </w:r>
          </w:p>
        </w:tc>
      </w:tr>
      <w:tr>
        <w:tc>
          <w:tcPr>
            <w:tcW w:type="auto" w:w="4535"/>
          </w:tcPr>
          <w:p>
            <w:pPr>
              <w:jc w:val="left"/>
            </w:pPr>
          </w:p>
        </w:tc>
        <w:tc>
          <w:tcPr>
            <w:tcW w:type="auto" w:w="4535"/>
          </w:tcPr>
          <w:p>
            <w:pPr>
              <w:jc w:val="left"/>
            </w:pPr>
            <w:r>
              <w:t>Trivy</w:t>
            </w:r>
          </w:p>
        </w:tc>
      </w:tr>
      <w:tr>
        <w:tc>
          <w:tcPr>
            <w:tcW w:type="auto" w:w="4535"/>
          </w:tcPr>
          <w:p>
            <w:pPr>
              <w:jc w:val="left"/>
            </w:pPr>
          </w:p>
        </w:tc>
        <w:tc>
          <w:tcPr>
            <w:tcW w:type="auto" w:w="4535"/>
          </w:tcPr>
          <w:p>
            <w:pPr>
              <w:jc w:val="left"/>
            </w:pPr>
            <w:r>
              <w:t>JMeter en Performancetestrunner</w:t>
            </w:r>
          </w:p>
        </w:tc>
      </w:tr>
      <w:tr>
        <w:tc>
          <w:tcPr>
            <w:tcW w:type="auto" w:w="4535"/>
          </w:tcPr>
          <w:p>
            <w:pPr>
              <w:jc w:val="left"/>
            </w:pPr>
          </w:p>
        </w:tc>
        <w:tc>
          <w:tcPr>
            <w:tcW w:type="auto" w:w="4535"/>
          </w:tcPr>
          <w:p>
            <w:pPr>
              <w:jc w:val="left"/>
            </w:pPr>
            <w:r>
              <w:t>Axe</w:t>
            </w:r>
          </w:p>
        </w:tc>
      </w:tr>
      <w:tr>
        <w:tc>
          <w:tcPr>
            <w:tcW w:type="auto" w:w="4535"/>
          </w:tcPr>
          <w:p>
            <w:pPr>
              <w:jc w:val="left"/>
            </w:pPr>
          </w:p>
        </w:tc>
        <w:tc>
          <w:tcPr>
            <w:tcW w:type="auto" w:w="4535"/>
          </w:tcPr>
          <w:p>
            <w:pPr>
              <w:jc w:val="left"/>
            </w:pPr>
            <w:r>
              <w:t>Tools die een SBoM in CycloneDX-formaat (zie https://cyclonedx.org) genereren</w:t>
            </w:r>
          </w:p>
        </w:tc>
      </w:tr>
      <w:tr>
        <w:tc>
          <w:tcPr>
            <w:tcW w:type="auto" w:w="4535"/>
          </w:tcPr>
          <w:p>
            <w:pPr>
              <w:jc w:val="left"/>
            </w:pPr>
          </w:p>
        </w:tc>
        <w:tc>
          <w:tcPr>
            <w:tcW w:type="auto" w:w="4535"/>
          </w:tcPr>
          <w:p>
            <w:pPr>
              <w:jc w:val="left"/>
            </w:pPr>
            <w:r>
              <w:t>Nexus of Harbor</w:t>
            </w:r>
          </w:p>
        </w:tc>
      </w:tr>
      <w:tr>
        <w:tc>
          <w:tcPr>
            <w:tcW w:type="auto" w:w="4535"/>
          </w:tcPr>
          <w:p>
            <w:pPr>
              <w:jc w:val="left"/>
            </w:pPr>
          </w:p>
        </w:tc>
        <w:tc>
          <w:tcPr>
            <w:tcW w:type="auto" w:w="4535"/>
          </w:tcPr>
          <w:p>
            <w:pPr>
              <w:jc w:val="left"/>
            </w:pPr>
            <w:r>
              <w:t>Jira</w:t>
            </w:r>
          </w:p>
        </w:tc>
      </w:tr>
      <w:tr>
        <w:tc>
          <w:tcPr>
            <w:tcW w:type="auto" w:w="4535"/>
          </w:tcPr>
          <w:p>
            <w:pPr>
              <w:jc w:val="left"/>
            </w:pP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Kop3"/>
      </w:pPr>
      <w:r>
        <w:t>Rationale</w:t>
      </w:r>
    </w:p>
    <w:p>
      <w:r>
        <w:t>Het inzetten van projectleden die bekend zijn met de Kwaliteitsaanpak zorgt voor een soepeler start van een nieuw project omdat zij bekend zijn met de inhoud van de Kwaliteitsaanpak, zoals kwaliteitsnormen en tools, en omdat zij al doende nieuwe projectleden bekend kunnen maken met de Kwaliteitsaanpak.</w:t>
      </w:r>
    </w:p>
    <w:p>
      <w:pPr>
        <w:pStyle w:val="Kop2"/>
      </w:pPr>
      <w:r>
        <w:t>M05: Het project hanteert een iteratief en incrementeel ontwikkelproces</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pPr>
        <w:pStyle w:val="Lijstnummering1"/>
        <w:numPr>
          <w:ilvl w:val="0"/>
          <w:numId w:val="22"/>
        </w:numPr>
      </w:pPr>
      <w:r>
        <w:t>.</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5">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 xml:space="preserve"> (5.1),</w:t>
      </w:r>
    </w:p>
    <w:p>
      <w:pPr>
        <w:pStyle w:val="Lijstnummering1"/>
        <w:numPr>
          <w:ilvl w:val="0"/>
          <w:numId w:val="23"/>
        </w:numPr>
      </w:pPr>
      <w:r>
        <w:t xml:space="preserve"> (5.2),</w:t>
      </w:r>
    </w:p>
    <w:p>
      <w:pPr>
        <w:pStyle w:val="Lijstnummering1"/>
        <w:numPr>
          <w:ilvl w:val="0"/>
          <w:numId w:val="23"/>
        </w:numPr>
      </w:pPr>
      <w:r>
        <w:t xml:space="preserve"> (5.3),</w:t>
      </w:r>
    </w:p>
    <w:p>
      <w:pPr>
        <w:pStyle w:val="Lijstnummering1"/>
        <w:numPr>
          <w:ilvl w:val="0"/>
          <w:numId w:val="23"/>
        </w:numPr>
      </w:pPr>
      <w:r>
        <w:t xml:space="preserve"> (5.4),</w:t>
      </w:r>
    </w:p>
    <w:p>
      <w:pPr>
        <w:pStyle w:val="Lijstnummering1"/>
        <w:numPr>
          <w:ilvl w:val="0"/>
          <w:numId w:val="23"/>
        </w:numPr>
      </w:pPr>
      <w:r>
        <w:t xml:space="preserve"> (6.1),</w:t>
      </w:r>
    </w:p>
    <w:p>
      <w:pPr>
        <w:pStyle w:val="Lijstnummering1"/>
        <w:numPr>
          <w:ilvl w:val="0"/>
          <w:numId w:val="23"/>
        </w:numPr>
      </w:pPr>
      <w:r>
        <w:t xml:space="preserve"> (6.2),</w:t>
      </w:r>
    </w:p>
    <w:p>
      <w:pPr>
        <w:pStyle w:val="Lijstnummering1"/>
        <w:numPr>
          <w:ilvl w:val="0"/>
          <w:numId w:val="23"/>
        </w:numPr>
      </w:pPr>
      <w:r>
        <w:t xml:space="preserve"> (6.3),</w:t>
      </w:r>
    </w:p>
    <w:p>
      <w:pPr>
        <w:pStyle w:val="Lijstnummering1"/>
        <w:numPr>
          <w:ilvl w:val="0"/>
          <w:numId w:val="23"/>
        </w:numPr>
      </w:pPr>
      <w:r>
        <w:t xml:space="preserve"> (6.4).</w:t>
      </w:r>
    </w:p>
    <w:p>
      <w:pPr>
        <w:pStyle w:val="Lijstnummering1"/>
        <w:numPr>
          <w:ilvl w:val="0"/>
          <w:numId w:val="23"/>
        </w:numPr>
      </w:pPr>
      <w:r>
        <w:t xml:space="preserve"> (7.1),</w:t>
      </w:r>
    </w:p>
    <w:p>
      <w:pPr>
        <w:pStyle w:val="Lijstnummering1"/>
        <w:numPr>
          <w:ilvl w:val="0"/>
          <w:numId w:val="23"/>
        </w:numPr>
      </w:pPr>
      <w:r>
        <w:t xml:space="preserve"> (7.2),</w:t>
      </w:r>
    </w:p>
    <w:p>
      <w:pPr>
        <w:pStyle w:val="Lijstnummering1"/>
        <w:numPr>
          <w:ilvl w:val="0"/>
          <w:numId w:val="23"/>
        </w:numPr>
      </w:pPr>
      <w:r>
        <w:t xml:space="preserve"> (7.3),</w:t>
      </w:r>
    </w:p>
    <w:p>
      <w:pPr>
        <w:pStyle w:val="Lijstnummering1"/>
        <w:numPr>
          <w:ilvl w:val="0"/>
          <w:numId w:val="23"/>
        </w:numPr>
      </w:pPr>
      <w:r>
        <w:t xml:space="preserve"> (7.4),</w:t>
      </w:r>
    </w:p>
    <w:p>
      <w:pPr>
        <w:pStyle w:val="Lijstnummering1"/>
        <w:numPr>
          <w:ilvl w:val="0"/>
          <w:numId w:val="23"/>
        </w:numPr>
      </w:pPr>
      <w:r>
        <w:t xml:space="preserve"> (7.5), en</w:t>
      </w:r>
    </w:p>
    <w:p>
      <w:pPr>
        <w:pStyle w:val="Lijstnummering1"/>
        <w:numPr>
          <w:ilvl w:val="0"/>
          <w:numId w:val="23"/>
        </w:numPr>
      </w:pPr>
      <w:r>
        <w:t xml:space="preserve">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6">
        <w:r>
          <w:rPr>
            <w:rStyle w:val="Hyperlink"/>
          </w:rPr>
          <w:t>Beleid open standaarden</w:t>
        </w:r>
      </w:hyperlink>
      <w:r>
        <w:t>". De voorkeur voor het open source beschikbaar stellen van eigen ontwikkelde tools is conform de "</w:t>
      </w:r>
      <w:hyperlink r:id="rId37">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8">
              <w:r>
                <w:rPr>
                  <w:rStyle w:val="Hyperlink"/>
                </w:rPr>
                <w:t>BIO</w:t>
              </w:r>
            </w:hyperlink>
          </w:p>
        </w:tc>
        <w:tc>
          <w:tcPr>
            <w:tcW w:type="auto" w:w="4535"/>
          </w:tcPr>
          <w:p>
            <w:pPr>
              <w:jc w:val="left"/>
            </w:pPr>
            <w:r>
              <w:t>Baseline Informatiebeveiliging Overheid.</w:t>
            </w:r>
          </w:p>
        </w:tc>
      </w:tr>
      <w:tr>
        <w:tc>
          <w:tcPr>
            <w:tcW w:type="auto" w:w="4535"/>
          </w:tcPr>
          <w:p>
            <w:pPr>
              <w:jc w:val="left"/>
            </w:pPr>
            <w:hyperlink r:id="rId3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44">
              <w:r>
                <w:rPr>
                  <w:rStyle w:val="Hyperlink"/>
                </w:rPr>
                <w:t>NEN 7510-2:2024</w:t>
              </w:r>
            </w:hyperlink>
          </w:p>
        </w:tc>
        <w:tc>
          <w:tcPr>
            <w:tcW w:type="auto" w:w="4535"/>
          </w:tcPr>
          <w:p>
            <w:pPr>
              <w:jc w:val="left"/>
            </w:pPr>
          </w:p>
        </w:tc>
      </w:tr>
      <w:tr>
        <w:tc>
          <w:tcPr>
            <w:tcW w:type="auto" w:w="4535"/>
          </w:tcPr>
          <w:p>
            <w:pPr>
              <w:jc w:val="left"/>
            </w:pPr>
            <w:hyperlink r:id="rId4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p>
    <w:p>
      <w:pPr>
        <w:pStyle w:val="Maatregel"/>
      </w:pPr>
      <w:r>
        <w:t>ICTU publiceert periodiek een nieuwe versie van de Kwaliteitsaanpak en/of de kwaliteitsnormen op een vaste, bekende locatie.</w:t>
      </w:r>
    </w:p>
    <w:p>
      <w:pPr>
        <w:pStyle w:val="Maatregel"/>
      </w:pP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p>
    <w:p>
      <w:pPr>
        <w:pStyle w:val="Maatregel"/>
      </w:pPr>
      <w:r>
        <w:t>ICTU zorgt voor technische en functionele ondersteuning aan projecten bij het gebruik van alle verplichte tools.</w:t>
      </w:r>
    </w:p>
    <w:p>
      <w:pPr>
        <w:pStyle w:val="Maatregel"/>
      </w:pP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p>
    <w:p>
      <w:pPr>
        <w:pStyle w:val="Maatregel"/>
      </w:pPr>
      <w:r>
        <w:t>Bij de inzet van medewerkers gaat kwaliteit boven andere aspecten, zoals beschikbaarheid, prijs en doorlooptijd.</w:t>
      </w:r>
    </w:p>
    <w:p>
      <w:pPr>
        <w:pStyle w:val="Maatregel"/>
      </w:pP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Maatregel"/>
      </w:pP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p>
    <w:p>
      <w:pPr>
        <w:pStyle w:val="Maatregel"/>
      </w:pPr>
      <w:r>
        <w:t>De projectleider organiseert periodiek een self-assessment tegen de actuele versie van de Kwaliteitsaanpak en zet verbeteracties uit, waar nodig.</w:t>
      </w:r>
    </w:p>
    <w:p>
      <w:pPr>
        <w:pStyle w:val="Maatregel"/>
      </w:pP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p>
    <w:p>
      <w:pPr>
        <w:pStyle w:val="Maatregel"/>
      </w:pPr>
      <w:r>
        <w:t>Als tijdens een project bestaande software dient te worden afgebouwd, onderhouden en/of herbouwd, vindt een onderzoek plaats naar de kwaliteit van deze software.</w:t>
      </w:r>
    </w:p>
    <w:p>
      <w:pPr>
        <w:pStyle w:val="Maatregel"/>
      </w:pP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html" TargetMode="External"/><Relationship Id="rId17" Type="http://schemas.openxmlformats.org/officeDocument/2006/relationships/hyperlink" Target="https://ictu.github.io/Kwaliteitsaanpak/wip/ICTU-Template-Inwerkplan-Kwaliteitsmanager.docx" TargetMode="External"/><Relationship Id="rId18" Type="http://schemas.openxmlformats.org/officeDocument/2006/relationships/hyperlink" Target="https://www.rijksoverheid.nl/documenten/rapporten/2021/02/25/impact-assessment-mensenrechten-en-algoritmes" TargetMode="External"/><Relationship Id="rId19" Type="http://schemas.openxmlformats.org/officeDocument/2006/relationships/hyperlink" Target="https://www.cip-overheid.nl/media/av0dmahv/20230614-gezamenlijk-gebruik-iama-en-model-dpia-rijksdienst-v1-0.pdf" TargetMode="External"/><Relationship Id="rId20" Type="http://schemas.openxmlformats.org/officeDocument/2006/relationships/hyperlink" Target="https://www.noraonline.nl/wiki/PSA" TargetMode="External"/><Relationship Id="rId21" Type="http://schemas.openxmlformats.org/officeDocument/2006/relationships/hyperlink" Target="https://www.noraonline.nl/wiki/Solution-architectuur" TargetMode="External"/><Relationship Id="rId22" Type="http://schemas.openxmlformats.org/officeDocument/2006/relationships/hyperlink" Target="https://ictu.github.io/Kwaliteitsaanpak/wip/ICTU-Template-Plan-van-Aanpak-Voorfase.docx" TargetMode="External"/><Relationship Id="rId23" Type="http://schemas.openxmlformats.org/officeDocument/2006/relationships/hyperlink" Target="https://ictu.github.io/Kwaliteitsaanpak/wip/ICTU-Template-Plan-van-Aanpak-Realisatiefase.docx" TargetMode="External"/><Relationship Id="rId24" Type="http://schemas.openxmlformats.org/officeDocument/2006/relationships/hyperlink" Target="https://www.digitoegankelijk.nl/wetgeving/toegankelijkheidsverklaring" TargetMode="External"/><Relationship Id="rId25" Type="http://schemas.openxmlformats.org/officeDocument/2006/relationships/hyperlink" Target="https://ictu.github.io/Kwaliteitsaanpak/wip/Neutraal-Template-Niet-Functionele-Eisen.docx" TargetMode="External"/><Relationship Id="rId26" Type="http://schemas.openxmlformats.org/officeDocument/2006/relationships/hyperlink" Target="https://www.scrumguides.org/scrum-guide.html#artifacts-productbacklog" TargetMode="External"/><Relationship Id="rId27" Type="http://schemas.openxmlformats.org/officeDocument/2006/relationships/hyperlink" Target="https://www.win.tue.nl/~wstomv/edu/2ip30/references/Kruchten-4+1-view.pdf" TargetMode="External"/><Relationship Id="rId28" Type="http://schemas.openxmlformats.org/officeDocument/2006/relationships/hyperlink" Target="https://ictu.github.io/Kwaliteitsaanpak/wip/ICTU-Template-Globaal-Functioneel-Ontwerp.docx" TargetMode="External"/><Relationship Id="rId29" Type="http://schemas.openxmlformats.org/officeDocument/2006/relationships/hyperlink" Target="https://ictu.github.io/Kwaliteitsaanpak/wip/ICTU-Template-Software-architectuurdocument.docx" TargetMode="External"/><Relationship Id="rId30" Type="http://schemas.openxmlformats.org/officeDocument/2006/relationships/hyperlink" Target="https://ictu.github.io/Kwaliteitsaanpak/wip/Neutraal-Template-Infrastructuurarchitectuur.docx" TargetMode="External"/><Relationship Id="rId31" Type="http://schemas.openxmlformats.org/officeDocument/2006/relationships/hyperlink" Target="https://ictu.github.io/Kwaliteitsaanpak/wip/Neutraal-Template-Mastertestplan.docx" TargetMode="External"/><Relationship Id="rId32" Type="http://schemas.openxmlformats.org/officeDocument/2006/relationships/hyperlink" Target="https://ictu.github.io/Kwaliteitsaanpak/wip/ICTU-Template-Detailtestplan-Softwarerealisatie.docx" TargetMode="External"/><Relationship Id="rId33" Type="http://schemas.openxmlformats.org/officeDocument/2006/relationships/hyperlink" Target="https://ictu.github.io/Kwaliteitsaanpak/wip/ICTU-Template-Kwaliteitsplan.docx" TargetMode="External"/><Relationship Id="rId34" Type="http://schemas.openxmlformats.org/officeDocument/2006/relationships/image" Target="media/image3.png"/><Relationship Id="rId35" Type="http://schemas.openxmlformats.org/officeDocument/2006/relationships/hyperlink" Target="https://ictu.github.io/Kwaliteitsaanpak/wip/ICTU-Kwaliteitsaanpak-Checklist.xlsx" TargetMode="External"/><Relationship Id="rId36" Type="http://schemas.openxmlformats.org/officeDocument/2006/relationships/hyperlink" Target="https://www.noraonline.nl/wiki/Beleid_open_standaarden" TargetMode="External"/><Relationship Id="rId37" Type="http://schemas.openxmlformats.org/officeDocument/2006/relationships/hyperlink" Target="https://www.rijksoverheid.nl/documenten/kamerstukken/2020/04/17/kamerbrief-inzake-vrijgeven-broncode-overheidssoftware" TargetMode="External"/><Relationship Id="rId38" Type="http://schemas.openxmlformats.org/officeDocument/2006/relationships/hyperlink" Target="https://bio-overheid.nl/media/1572/bio-versie-104zv_def.pdf" TargetMode="External"/><Relationship Id="rId39" Type="http://schemas.openxmlformats.org/officeDocument/2006/relationships/hyperlink" Target="https://www.iso.org/standard/77520.html" TargetMode="External"/><Relationship Id="rId40" Type="http://schemas.openxmlformats.org/officeDocument/2006/relationships/hyperlink" Target="https://www.ncsc.nl/documenten/publicaties/2019/mei/01/ict-beveiligingsrichtlijnen-voor-webapplicaties" TargetMode="External"/><Relationship Id="rId41" Type="http://schemas.openxmlformats.org/officeDocument/2006/relationships/hyperlink" Target="https://www.nen.nl/nen-iso-iec-25010-2023-en-318088" TargetMode="External"/><Relationship Id="rId42" Type="http://schemas.openxmlformats.org/officeDocument/2006/relationships/hyperlink" Target="https://www.nen.nl/nen-en-iso-iec-27001-2023-nl-314206" TargetMode="External"/><Relationship Id="rId43" Type="http://schemas.openxmlformats.org/officeDocument/2006/relationships/hyperlink" Target="https://www.nen.nl/nen-en-iso-iec-27002-2022-nl-304509" TargetMode="External"/><Relationship Id="rId44" Type="http://schemas.openxmlformats.org/officeDocument/2006/relationships/hyperlink" Target="https://www.nen.nl/nen-7510-2-2024-nl-331314" TargetMode="External"/><Relationship Id="rId45" Type="http://schemas.openxmlformats.org/officeDocument/2006/relationships/hyperlink" Target="https://www.nen.nl/npr-5325-2017-nl-238298" TargetMode="External"/><Relationship Id="rId46" Type="http://schemas.openxmlformats.org/officeDocument/2006/relationships/hyperlink" Target="https://www.nen.nl/npr-5326-2019-nl-262885" TargetMode="External"/><Relationship Id="rId47" Type="http://schemas.openxmlformats.org/officeDocument/2006/relationships/hyperlink" Target="https://www.noraonline.nl" TargetMode="External"/><Relationship Id="rId48" Type="http://schemas.openxmlformats.org/officeDocument/2006/relationships/hyperlink" Target="https://owasp.org/www-project-top-ten/" TargetMode="External"/><Relationship Id="rId49" Type="http://schemas.openxmlformats.org/officeDocument/2006/relationships/hyperlink" Target="https://scrumguides.org/docs/scrumguide/v2020/2020-Scrum-Guide-Dutch.pdf" TargetMode="External"/><Relationship Id="rId50" Type="http://schemas.openxmlformats.org/officeDocument/2006/relationships/hyperlink" Target="https://wetten.overheid.nl/BWBR0022141/2007-07-01" TargetMode="External"/><Relationship Id="rId51" Type="http://schemas.openxmlformats.org/officeDocument/2006/relationships/hyperlink" Target="https://wetten.overheid.nl/BWBR0033507/2013-06-01" TargetMode="External"/><Relationship Id="rId52" Type="http://schemas.openxmlformats.org/officeDocument/2006/relationships/hyperlink" Target="https://wetten.overheid.nl/BWBR0041515/2024-10-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