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02-08-2024</w:t>
      </w:r>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analysis,</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analysis</w:t>
      </w:r>
    </w:p>
    <w:p>
      <w:r>
        <w:t>In een business impact analysis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analysis</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analysis en privacy impact assessment</w:t>
      </w:r>
    </w:p>
    <w:p>
      <w:r>
        <w:t xml:space="preserve">De opdrachtgevende organisatie zorgt dat het project bij de start van de voorfase inzicht heeft in de informatie die typisch wordt vastgelegd in een projectstartarchitectuur, business impact analysis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analysis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1">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wp:cNvGraphicFramePr>
              <a:graphicFrameLocks noChangeAspect="1"/>
            </wp:cNvGraphicFramePr>
            <a:graphic>
              <a:graphicData uri="http://schemas.openxmlformats.org/drawingml/2006/picture">
                <pic:pic>
                  <pic:nvPicPr>
                    <pic:cNvPr id="0" name="relaties-tussen-producten.png"/>
                    <pic:cNvPicPr/>
                  </pic:nvPicPr>
                  <pic:blipFill>
                    <a:blip r:embed="rId32"/>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r>
        <w:t>De standaard NEN-ISO/IEC 25010:2011, kortweg "ISO-25010", biedt een model voor het beschrijven van productkwaliteit. Kwaliteitseigenschappen zijn voorzien van een naam, definitie en classificatie. ISO-25010 dekt een breed spectrum van kwaliteitseigenschappen af.</w:t>
      </w:r>
    </w:p>
    <w:p>
      <w:pPr>
        <w:pStyle w:val="Kop3"/>
      </w:pPr>
      <w:r>
        <w:t>Rationale</w:t>
      </w:r>
    </w:p>
    <w:p>
      <w:r>
        <w:t>ISO-25010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OWASP ZAP (Zed Attack Proxy),</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Bij voorkeur zijn dezelfde deskundigen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3">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4">
        <w:r>
          <w:rPr>
            <w:rStyle w:val="Hyperlink"/>
          </w:rPr>
          <w:t>Beleid open standaarden</w:t>
        </w:r>
      </w:hyperlink>
      <w:r>
        <w:t>". De voorkeur voor het open source beschikbaar stellen van eigen ontwikkelde tools is conform de "</w:t>
      </w:r>
      <w:hyperlink r:id="rId35">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6">
              <w:r>
                <w:rPr>
                  <w:rStyle w:val="Hyperlink"/>
                </w:rPr>
                <w:t>BIO</w:t>
              </w:r>
            </w:hyperlink>
          </w:p>
        </w:tc>
        <w:tc>
          <w:tcPr>
            <w:tcW w:type="auto" w:w="4535"/>
          </w:tcPr>
          <w:p>
            <w:pPr>
              <w:jc w:val="left"/>
            </w:pPr>
            <w:r>
              <w:t>Baseline Informatiebeveiliging Overheid.</w:t>
            </w:r>
          </w:p>
        </w:tc>
      </w:tr>
      <w:tr>
        <w:tc>
          <w:tcPr>
            <w:tcW w:type="auto" w:w="4535"/>
          </w:tcPr>
          <w:p>
            <w:pPr>
              <w:jc w:val="left"/>
            </w:pPr>
            <w:hyperlink r:id="rId3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3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2">
              <w:r>
                <w:rPr>
                  <w:rStyle w:val="Hyperlink"/>
                </w:rPr>
                <w:t>NEN 7510:2017</w:t>
              </w:r>
            </w:hyperlink>
          </w:p>
        </w:tc>
        <w:tc>
          <w:tcPr>
            <w:tcW w:type="auto" w:w="4535"/>
          </w:tcPr>
          <w:p>
            <w:pPr>
              <w:jc w:val="left"/>
            </w:pPr>
            <w:r>
              <w:t>Informatiebeveiliging in de zorg.</w:t>
            </w:r>
          </w:p>
        </w:tc>
      </w:tr>
      <w:tr>
        <w:tc>
          <w:tcPr>
            <w:tcW w:type="auto" w:w="4535"/>
          </w:tcPr>
          <w:p>
            <w:pPr>
              <w:jc w:val="left"/>
            </w:pPr>
            <w:hyperlink r:id="rId4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4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 Projecten gebruiken NEN-ISO/IEC 25010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analysis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ICTU-Template-Detailtestplan-Softwarerealisatie.docx" TargetMode="External"/><Relationship Id="rId31" Type="http://schemas.openxmlformats.org/officeDocument/2006/relationships/hyperlink" Target="https://ictu.github.io/Kwaliteitsaanpak/wip/ICTU-Template-Kwaliteitsplan.docx" TargetMode="External"/><Relationship Id="rId32" Type="http://schemas.openxmlformats.org/officeDocument/2006/relationships/image" Target="media/image3.png"/><Relationship Id="rId33" Type="http://schemas.openxmlformats.org/officeDocument/2006/relationships/hyperlink" Target="https://ictu.github.io/Kwaliteitsaanpak/wip/ICTU-Kwaliteitsaanpak-Checklist.xlsx" TargetMode="External"/><Relationship Id="rId34" Type="http://schemas.openxmlformats.org/officeDocument/2006/relationships/hyperlink" Target="https://www.noraonline.nl/wiki/Beleid_open_standaarden" TargetMode="External"/><Relationship Id="rId35" Type="http://schemas.openxmlformats.org/officeDocument/2006/relationships/hyperlink" Target="https://www.rijksoverheid.nl/documenten/kamerstukken/2020/04/17/kamerbrief-inzake-vrijgeven-broncode-overheidssoftware" TargetMode="External"/><Relationship Id="rId36" Type="http://schemas.openxmlformats.org/officeDocument/2006/relationships/hyperlink" Target="https://bio-overheid.nl/media/1572/bio-versie-104zv_def.pdf" TargetMode="External"/><Relationship Id="rId37" Type="http://schemas.openxmlformats.org/officeDocument/2006/relationships/hyperlink" Target="https://www.iso.org/standard/77520.html" TargetMode="External"/><Relationship Id="rId38" Type="http://schemas.openxmlformats.org/officeDocument/2006/relationships/hyperlink" Target="https://www.ncsc.nl/documenten/publicaties/2019/mei/01/ict-beveiligingsrichtlijnen-voor-webapplicaties" TargetMode="External"/><Relationship Id="rId39" Type="http://schemas.openxmlformats.org/officeDocument/2006/relationships/hyperlink" Target="https://www.nen.nl/nen-iso-iec-25010-2011-en-157265" TargetMode="External"/><Relationship Id="rId40" Type="http://schemas.openxmlformats.org/officeDocument/2006/relationships/hyperlink" Target="https://www.nen.nl/nen-en-iso-iec-27001-2017-a11-2020-nl-265545" TargetMode="External"/><Relationship Id="rId41" Type="http://schemas.openxmlformats.org/officeDocument/2006/relationships/hyperlink" Target="https://www.nen.nl/nen-en-iso-iec-27002-2017-nl-245390" TargetMode="External"/><Relationship Id="rId42" Type="http://schemas.openxmlformats.org/officeDocument/2006/relationships/hyperlink" Target="https://www.nen.nl/nen-7510-1-2017-a1-2020-nl-267179" TargetMode="External"/><Relationship Id="rId43" Type="http://schemas.openxmlformats.org/officeDocument/2006/relationships/hyperlink" Target="https://www.nen.nl/npr-5325-2017-nl-238298" TargetMode="External"/><Relationship Id="rId44" Type="http://schemas.openxmlformats.org/officeDocument/2006/relationships/hyperlink" Target="https://www.nen.nl/npr-5326-2019-nl-262885" TargetMode="External"/><Relationship Id="rId45" Type="http://schemas.openxmlformats.org/officeDocument/2006/relationships/hyperlink" Target="https://www.noraonline.nl" TargetMode="External"/><Relationship Id="rId46" Type="http://schemas.openxmlformats.org/officeDocument/2006/relationships/hyperlink" Target="https://owasp.org/www-project-top-ten/" TargetMode="External"/><Relationship Id="rId47" Type="http://schemas.openxmlformats.org/officeDocument/2006/relationships/hyperlink" Target="https://scrumguides.org/docs/scrumguide/v2020/2020-Scrum-Guide-Dutch.pdf" TargetMode="External"/><Relationship Id="rId48" Type="http://schemas.openxmlformats.org/officeDocument/2006/relationships/hyperlink" Target="https://wetten.overheid.nl/BWBR0022141/2007-07-01" TargetMode="External"/><Relationship Id="rId49" Type="http://schemas.openxmlformats.org/officeDocument/2006/relationships/hyperlink" Target="https://wetten.overheid.nl/BWBR0033507/2013-06-01" TargetMode="External"/><Relationship Id="rId50"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