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6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1">
        <w:r>
          <w:rPr>
            <w:rStyle w:val="Hyperlink"/>
          </w:rPr>
          <w:t>PDF-formaat</w:t>
        </w:r>
      </w:hyperlink>
      <w:r>
        <w:t xml:space="preserve"> of </w:t>
      </w:r>
      <w:hyperlink r:id="rId6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22141/2007-07-01" TargetMode="External"/><Relationship Id="rId58" Type="http://schemas.openxmlformats.org/officeDocument/2006/relationships/hyperlink" Target="https://wetten.overheid.nl/BWBR0033507/2013-06-01" TargetMode="External"/><Relationship Id="rId59" Type="http://schemas.openxmlformats.org/officeDocument/2006/relationships/hyperlink" Target="https://wetten.overheid.nl/BWBR0041515/2020-07-15" TargetMode="External"/><Relationship Id="rId60" Type="http://schemas.openxmlformats.org/officeDocument/2006/relationships/hyperlink" Target="https://www.tweedekamer.nl/sites/default/files/field_uploads/33326-5-Eindrapport_tcm181-239826.pdf" TargetMode="External"/><Relationship Id="rId61" Type="http://schemas.openxmlformats.org/officeDocument/2006/relationships/hyperlink" Target="https://ictu.github.io/Kwaliteitsaanpak/wip/ICTU-Kwaliteitsaanpak-Wijzigingsgeschiedenis.pdf" TargetMode="External"/><Relationship Id="rId62"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