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beheerpartij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opdrachtgever of de beheerpartij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