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Kwaliteitsplan</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20-02-2024</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highlight w:val="yellow"/>
        </w:rPr>
        <w:t>{de 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highlight w:val="yellow"/>
        </w:rPr>
        <w:t>{de opdrachtgevende organisatie}</w:t>
      </w:r>
      <w:r>
        <w:t xml:space="preserve"> specifieke eisen stelt aan de kwaliteitsaspecten </w:t>
      </w:r>
      <w:r>
        <w:rPr>
          <w:highlight w:val="yellow"/>
        </w:rPr>
        <w:t>{kwaliteitsaspecten}</w:t>
      </w:r>
      <w:r>
        <w:t xml:space="preserve"> zullen de volgende extra kwaliteitsmaatregelen worden getroffen om deze eisen te borgen:</w:t>
      </w:r>
    </w:p>
    <w:p>
      <w:pPr>
        <w:pStyle w:val="Lijstopsomteken1"/>
        <w:numPr>
          <w:ilvl w:val="0"/>
        </w:numPr>
      </w:pPr>
      <w:r>
        <w:rPr>
          <w:highlight w:val="yellow"/>
        </w:rPr>
        <w:t>{Projectspecifieke kwaliteitsmaatregel 1}</w:t>
      </w:r>
    </w:p>
    <w:p>
      <w:pPr>
        <w:pStyle w:val="Lijstopsomteken1"/>
        <w:numPr>
          <w:ilvl w:val="0"/>
        </w:numPr>
      </w:pPr>
      <w:r>
        <w:rPr>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highlight w:val="yellow"/>
        </w:rPr>
        <w:t>{de 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backlog, zal de product owner het kwaliteitsplan ook accorderen.</w:t>
      </w:r>
    </w:p>
    <w:p>
      <w:pPr>
        <w:pStyle w:val="Kop2"/>
      </w:pPr>
      <w:r>
        <w:t>Doelgroep</w:t>
      </w:r>
    </w:p>
    <w:p>
      <w:r>
        <w:t xml:space="preserve">Doelgroep van dit kwaliteitsplan zijn opdrachtgever en product owner van </w:t>
      </w:r>
      <w:r>
        <w:rPr>
          <w:highlight w:val="yellow"/>
        </w:rPr>
        <w:t>{opdrachtgevende organisatie}</w:t>
      </w:r>
      <w:r>
        <w:t xml:space="preserve">, beheerders van </w:t>
      </w:r>
      <w:r>
        <w:rPr>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highlight w:val="yellow"/>
              </w:rPr>
              <w:t>{projectnaam}</w:t>
            </w:r>
          </w:p>
        </w:tc>
        <w:tc>
          <w:tcPr>
            <w:tcW w:type="auto" w:w="4535"/>
          </w:tcPr>
          <w:p>
            <w:pPr>
              <w:jc w:val="center"/>
            </w:pPr>
            <w:r>
              <w:rPr>
                <w:highlight w:val="yellow"/>
              </w:rPr>
              <w:t>{versie}</w:t>
            </w:r>
          </w:p>
        </w:tc>
      </w:tr>
      <w:tr>
        <w:tc>
          <w:tcPr>
            <w:tcW w:type="auto" w:w="4535"/>
          </w:tcPr>
          <w:p>
            <w:pPr>
              <w:jc w:val="left"/>
            </w:pPr>
            <w:r>
              <w:t xml:space="preserve">Niet-functionele eisen </w:t>
            </w:r>
            <w:r>
              <w:rPr>
                <w:highlight w:val="yellow"/>
              </w:rPr>
              <w:t>{productnaam}</w:t>
            </w:r>
          </w:p>
        </w:tc>
        <w:tc>
          <w:tcPr>
            <w:tcW w:type="auto" w:w="4535"/>
          </w:tcPr>
          <w:p>
            <w:pPr>
              <w:jc w:val="center"/>
            </w:pPr>
            <w:r>
              <w:rPr>
                <w:highlight w:val="yellow"/>
              </w:rPr>
              <w:t>{versie}</w:t>
            </w:r>
          </w:p>
        </w:tc>
      </w:tr>
      <w:tr>
        <w:tc>
          <w:tcPr>
            <w:tcW w:type="auto" w:w="4535"/>
          </w:tcPr>
          <w:p>
            <w:pPr>
              <w:jc w:val="left"/>
            </w:pPr>
            <w:r>
              <w:rPr>
                <w:highlight w:val="yellow"/>
              </w:rPr>
              <w:t>{titel}</w:t>
            </w:r>
          </w:p>
        </w:tc>
        <w:tc>
          <w:tcPr>
            <w:tcW w:type="auto" w:w="4535"/>
          </w:tcPr>
          <w:p>
            <w:pPr>
              <w:jc w:val="center"/>
            </w:pPr>
            <w:r>
              <w:rPr>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Behalen van kwaliteitsnormen</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het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highlight w:val="yellow"/>
        </w:rPr>
        <w:t>{de 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highlight w:val="yellow"/>
        </w:rPr>
        <w:t>{De opdrachtgevende organisatie}</w:t>
      </w:r>
      <w:r>
        <w:t xml:space="preserve"> zorgt dat het project bij de start van de voorfase inzicht heeft in de informatie die typisch wordt vastgelegd in een projectstartarchitectuur, business impact analysis en privacy impact assessment. Waar nodig werkt </w:t>
      </w:r>
      <w:r>
        <w:rPr>
          <w:highlight w:val="yellow"/>
        </w:rPr>
        <w:t>{de 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Backlog en NFE-document.</w:t>
      </w:r>
    </w:p>
    <w:p>
      <w:r>
        <w:t xml:space="preserve">De tijdens de voorfase geïdentificeerde eisen vormen het startpunt van </w:t>
      </w:r>
      <w:r>
        <w:rPr>
          <w:highlight w:val="yellow"/>
        </w:rPr>
        <w:t>{de 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highlight w:val="yellow"/>
        </w:rPr>
        <w:t>{de 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highlight w:val="yellow"/>
        </w:rPr>
        <w:t>{in geval van operationeel en/of applicatiebeheer:}</w:t>
      </w:r>
      <w:r>
        <w:t xml:space="preserve"> beheerd dat deze de BIO-compliance van </w:t>
      </w:r>
      <w:r>
        <w:rPr>
          <w:highlight w:val="yellow"/>
        </w:rPr>
        <w:t>{de 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2.1,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highlight w:val="yellow"/>
        </w:rPr>
        <w:t>{Als de eisen traceerbaar moeten zijn vanuit de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het project (bijvoorbeeld de testmanager) een vrijgaveadvies op. Eventuele afwijkingen in de kwaliteitsrapportage en hieruit voortvloeiende risico's ("rode metrieken") worden in het vrijgaveadvies toegelicht. De kwaliteitsmanager reviewt het vrijgaveadvies.</w:t>
      </w:r>
    </w:p>
    <w:p>
      <w:r>
        <w:t>Het vrijgaveadvies beschrijft (</w:t>
      </w:r>
      <w:r>
        <w:rPr>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highlight w:val="yellow"/>
        </w:rPr>
        <w:t>{Als operationeel beheer onderdeel is van de dienstverlening:}</w:t>
      </w:r>
      <w:r>
        <w:t xml:space="preserve"> Het project gebruikt </w:t>
      </w:r>
      <w:r>
        <w:rPr>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highlight w:val="yellow"/>
              </w:rPr>
              <w:t>{programmeertaal A}</w:t>
            </w:r>
          </w:p>
        </w:tc>
        <w:tc>
          <w:tcPr>
            <w:tcW w:type="auto" w:w="3023"/>
          </w:tcPr>
          <w:p>
            <w:pPr>
              <w:jc w:val="left"/>
            </w:pPr>
            <w:r>
              <w:rPr>
                <w:highlight w:val="yellow"/>
              </w:rPr>
              <w:t>{codeerstandaard A}</w:t>
            </w:r>
          </w:p>
        </w:tc>
        <w:tc>
          <w:tcPr>
            <w:tcW w:type="auto" w:w="3023"/>
          </w:tcPr>
          <w:p>
            <w:pPr>
              <w:jc w:val="left"/>
            </w:pPr>
            <w:r>
              <w:rPr>
                <w:highlight w:val="yellow"/>
              </w:rPr>
              <w:t>{broncodereview}</w:t>
            </w:r>
          </w:p>
        </w:tc>
      </w:tr>
      <w:tr>
        <w:tc>
          <w:tcPr>
            <w:tcW w:type="auto" w:w="3023"/>
          </w:tcPr>
          <w:p>
            <w:pPr>
              <w:jc w:val="left"/>
            </w:pPr>
            <w:r>
              <w:rPr>
                <w:highlight w:val="yellow"/>
              </w:rPr>
              <w:t>{programmeertaal B}</w:t>
            </w:r>
          </w:p>
        </w:tc>
        <w:tc>
          <w:tcPr>
            <w:tcW w:type="auto" w:w="3023"/>
          </w:tcPr>
          <w:p>
            <w:pPr>
              <w:jc w:val="left"/>
            </w:pPr>
            <w:r>
              <w:rPr>
                <w:highlight w:val="yellow"/>
              </w:rPr>
              <w:t>{codeerstandaard B}</w:t>
            </w:r>
          </w:p>
        </w:tc>
        <w:tc>
          <w:tcPr>
            <w:tcW w:type="auto" w:w="3023"/>
          </w:tcPr>
          <w:p>
            <w:pPr>
              <w:jc w:val="left"/>
            </w:pPr>
            <w:r>
              <w:rPr>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highlight w:val="yellow"/>
              </w:rPr>
              <w:t>{Programmeertaal}</w:t>
            </w:r>
          </w:p>
        </w:tc>
        <w:tc>
          <w:tcPr>
            <w:tcW w:type="auto" w:w="3023"/>
          </w:tcPr>
          <w:p>
            <w:pPr>
              <w:jc w:val="left"/>
            </w:pPr>
            <w:r>
              <w:rPr>
                <w:highlight w:val="yellow"/>
              </w:rPr>
              <w:t>{Tool}</w:t>
            </w:r>
          </w:p>
        </w:tc>
        <w:tc>
          <w:tcPr>
            <w:tcW w:type="auto" w:w="3023"/>
          </w:tcPr>
          <w:p>
            <w:pPr>
              <w:jc w:val="left"/>
            </w:pPr>
            <w:r>
              <w:rPr>
                <w:highlight w:val="yellow"/>
              </w:rPr>
              <w:t>{Soort}</w:t>
            </w:r>
          </w:p>
        </w:tc>
      </w:tr>
    </w:tbl>
    <w:p>
      <w:r>
        <w:t xml:space="preserve">De configuratie van de tools wordt </w:t>
      </w:r>
      <w:r>
        <w:rPr>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pull request wordt door minimaal </w:t>
      </w:r>
      <w:r>
        <w:rPr>
          <w:highlight w:val="yellow"/>
        </w:rPr>
        <w:t>{X}</w:t>
      </w:r>
      <w:r>
        <w:t xml:space="preserve"> ontwikkelaar(s) gereviewed.</w:t>
      </w:r>
    </w:p>
    <w:p>
      <w:pPr>
        <w:pStyle w:val="Lijstopsomteken1"/>
        <w:numPr>
          <w:ilvl w:val="0"/>
        </w:numPr>
      </w:pPr>
      <w:r>
        <w:t xml:space="preserve">Er zijn </w:t>
      </w:r>
      <w:r>
        <w:rPr>
          <w:highlight w:val="yellow"/>
        </w:rPr>
        <w:t>{Y}</w:t>
      </w:r>
      <w:r>
        <w:t xml:space="preserve"> goedkeuringen nodig voordat een pull request mag worden gemerged.</w:t>
      </w:r>
    </w:p>
    <w:p>
      <w:pPr>
        <w:pStyle w:val="Lijstopsomteken1"/>
        <w:numPr>
          <w:ilvl w:val="0"/>
        </w:numPr>
      </w:pPr>
      <w:r>
        <w:t xml:space="preserve">Na goedkeuring wordt de pull request gemerged door de </w:t>
      </w:r>
      <w:r>
        <w:rPr>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highlight w:val="yellow"/>
              </w:rPr>
              <w:t>{programmeertaal A}</w:t>
            </w:r>
          </w:p>
        </w:tc>
        <w:tc>
          <w:tcPr>
            <w:tcW w:type="auto" w:w="4535"/>
          </w:tcPr>
          <w:p>
            <w:pPr>
              <w:jc w:val="left"/>
            </w:pPr>
            <w:r>
              <w:rPr>
                <w:highlight w:val="yellow"/>
              </w:rPr>
              <w:t>{maximale omvang}</w:t>
            </w:r>
          </w:p>
        </w:tc>
      </w:tr>
      <w:tr>
        <w:tc>
          <w:tcPr>
            <w:tcW w:type="auto" w:w="4535"/>
          </w:tcPr>
          <w:p>
            <w:pPr>
              <w:jc w:val="left"/>
            </w:pPr>
            <w:r>
              <w:rPr>
                <w:highlight w:val="yellow"/>
              </w:rPr>
              <w:t>{programmeertaal B}</w:t>
            </w:r>
          </w:p>
        </w:tc>
        <w:tc>
          <w:tcPr>
            <w:tcW w:type="auto" w:w="4535"/>
          </w:tcPr>
          <w:p>
            <w:pPr>
              <w:jc w:val="left"/>
            </w:pPr>
            <w:r>
              <w:rPr>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highlight w:val="yellow"/>
        </w:rPr>
        <w:t>{de 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 checker, OWASP ZAP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highlight w:val="yellow"/>
        </w:rPr>
        <w:t>{of door externe deskundigen}</w:t>
      </w:r>
      <w:r>
        <w:t>. Het MTP beschrijft de gekozen aanpak voor het testen van WCAG-2.1-richtlijnen die niet geautomatiseerd kunnen worden getest.</w:t>
      </w:r>
    </w:p>
    <w:p>
      <w:pPr>
        <w:pStyle w:val="Kop2"/>
      </w:pPr>
      <w:r>
        <w:t>Usability-testen</w:t>
      </w:r>
    </w:p>
    <w:p>
      <w:r>
        <w:rPr>
          <w:highlight w:val="yellow"/>
        </w:rPr>
        <w:t>{Verwijder deze paragraaf indien usability-testen niet van toepassing zijn}</w:t>
      </w:r>
    </w:p>
    <w:p>
      <w:r>
        <w:t xml:space="preserve">Om de usability van de software te testen worden usability-testen uitgevoerd, door deskundige leden van het Scrumteam </w:t>
      </w:r>
      <w:r>
        <w:rPr>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Onderhoudbaarheidstoets</w:t>
            </w:r>
          </w:p>
        </w:tc>
        <w:tc>
          <w:tcPr>
            <w:tcW w:type="auto" w:w="3023"/>
          </w:tcPr>
          <w:p>
            <w:pPr>
              <w:jc w:val="left"/>
            </w:pPr>
            <w:r>
              <w:rPr>
                <w:highlight w:val="yellow"/>
              </w:rPr>
              <w:t>{Leverancier uit de ICTU-mantel IT-audits }</w:t>
            </w:r>
          </w:p>
        </w:tc>
        <w:tc>
          <w:tcPr>
            <w:tcW w:type="auto" w:w="3023"/>
          </w:tcPr>
          <w:p>
            <w:pPr>
              <w:jc w:val="left"/>
            </w:pPr>
            <w:r>
              <w:rPr>
                <w:highlight w:val="yellow"/>
              </w:rPr>
              <w:t>{Sprint/Kwartaal}</w:t>
            </w:r>
          </w:p>
        </w:tc>
      </w:tr>
      <w:tr>
        <w:tc>
          <w:tcPr>
            <w:tcW w:type="auto" w:w="3023"/>
          </w:tcPr>
          <w:p>
            <w:pPr>
              <w:jc w:val="left"/>
            </w:pPr>
            <w:r>
              <w:t>Toegankelijkheidstoets</w:t>
            </w:r>
          </w:p>
        </w:tc>
        <w:tc>
          <w:tcPr>
            <w:tcW w:type="auto" w:w="3023"/>
          </w:tcPr>
          <w:p>
            <w:pPr>
              <w:jc w:val="left"/>
            </w:pPr>
            <w:r>
              <w:rPr>
                <w:highlight w:val="yellow"/>
              </w:rPr>
              <w:t>{Leverancier}</w:t>
            </w:r>
          </w:p>
        </w:tc>
        <w:tc>
          <w:tcPr>
            <w:tcW w:type="auto" w:w="3023"/>
          </w:tcPr>
          <w:p>
            <w:pPr>
              <w:jc w:val="left"/>
            </w:pPr>
            <w:r>
              <w:rPr>
                <w:highlight w:val="yellow"/>
              </w:rPr>
              <w:t>{Sprint/Kwartaal}</w:t>
            </w:r>
          </w:p>
        </w:tc>
      </w:tr>
      <w:tr>
        <w:tc>
          <w:tcPr>
            <w:tcW w:type="auto" w:w="3023"/>
          </w:tcPr>
          <w:p>
            <w:pPr>
              <w:jc w:val="left"/>
            </w:pPr>
            <w:r>
              <w:rPr>
                <w:highlight w:val="yellow"/>
              </w:rPr>
              <w:t>{Certificering}</w:t>
            </w:r>
          </w:p>
        </w:tc>
        <w:tc>
          <w:tcPr>
            <w:tcW w:type="auto" w:w="3023"/>
          </w:tcPr>
          <w:p>
            <w:pPr>
              <w:jc w:val="left"/>
            </w:pPr>
            <w:r>
              <w:rPr>
                <w:highlight w:val="yellow"/>
              </w:rPr>
              <w:t>{Leverancier}</w:t>
            </w:r>
          </w:p>
        </w:tc>
        <w:tc>
          <w:tcPr>
            <w:tcW w:type="auto" w:w="3023"/>
          </w:tcPr>
          <w:p>
            <w:pPr>
              <w:jc w:val="left"/>
            </w:pPr>
            <w:r>
              <w:rPr>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highlight w:val="yellow"/>
              </w:rPr>
              <w:t>{Nummer}</w:t>
            </w:r>
          </w:p>
        </w:tc>
        <w:tc>
          <w:tcPr>
            <w:tcW w:type="auto" w:w="1814"/>
          </w:tcPr>
          <w:p>
            <w:pPr>
              <w:jc w:val="left"/>
            </w:pPr>
            <w:r>
              <w:rPr>
                <w:highlight w:val="yellow"/>
              </w:rPr>
              <w:t>{voorbeeld: onderdeel A moet kunnen worden vervangen door onderdeel B}</w:t>
            </w:r>
          </w:p>
        </w:tc>
        <w:tc>
          <w:tcPr>
            <w:tcW w:type="auto" w:w="1814"/>
          </w:tcPr>
          <w:p>
            <w:pPr>
              <w:jc w:val="left"/>
            </w:pPr>
            <w:r>
              <w:rPr>
                <w:highlight w:val="yellow"/>
              </w:rPr>
              <w:t>{voorbeeld: scenariotest opnemen in MTP}</w:t>
            </w:r>
          </w:p>
        </w:tc>
        <w:tc>
          <w:tcPr>
            <w:tcW w:type="auto" w:w="1814"/>
          </w:tcPr>
          <w:p>
            <w:pPr>
              <w:jc w:val="left"/>
            </w:pPr>
            <w:r>
              <w:rPr>
                <w:highlight w:val="yellow"/>
              </w:rPr>
              <w:t>{voorbeeld: review MTP}</w:t>
            </w:r>
          </w:p>
        </w:tc>
        <w:tc>
          <w:tcPr>
            <w:tcW w:type="auto" w:w="1814"/>
          </w:tcPr>
          <w:p>
            <w:pPr>
              <w:jc w:val="left"/>
            </w:pPr>
            <w:r>
              <w:rPr>
                <w:highlight w:val="yellow"/>
              </w:rPr>
              <w:t>{voorbeeld: dd/mm/jjjj review MTP, test opgenomen in hoofdstuk x}</w:t>
            </w:r>
          </w:p>
        </w:tc>
      </w:tr>
      <w:tr>
        <w:tc>
          <w:tcPr>
            <w:tcW w:type="auto" w:w="1814"/>
          </w:tcPr>
          <w:p>
            <w:pPr>
              <w:jc w:val="left"/>
            </w:pPr>
            <w:r>
              <w:rPr>
                <w:highlight w:val="yellow"/>
              </w:rPr>
              <w:t>{Nummer}</w:t>
            </w:r>
          </w:p>
        </w:tc>
        <w:tc>
          <w:tcPr>
            <w:tcW w:type="auto" w:w="1814"/>
          </w:tcPr>
          <w:p>
            <w:pPr>
              <w:jc w:val="left"/>
            </w:pPr>
            <w:r>
              <w:rPr>
                <w:highlight w:val="yellow"/>
              </w:rPr>
              <w:t>{Omschrijving}</w:t>
            </w:r>
          </w:p>
        </w:tc>
        <w:tc>
          <w:tcPr>
            <w:tcW w:type="auto" w:w="1814"/>
          </w:tcPr>
          <w:p>
            <w:pPr>
              <w:jc w:val="left"/>
            </w:pPr>
            <w:r>
              <w:rPr>
                <w:highlight w:val="yellow"/>
              </w:rPr>
              <w:t>{Maatregelen}</w:t>
            </w:r>
          </w:p>
        </w:tc>
        <w:tc>
          <w:tcPr>
            <w:tcW w:type="auto" w:w="1814"/>
          </w:tcPr>
          <w:p>
            <w:pPr>
              <w:jc w:val="left"/>
            </w:pPr>
            <w:r>
              <w:rPr>
                <w:highlight w:val="yellow"/>
              </w:rPr>
              <w:t>{Controle}</w:t>
            </w:r>
          </w:p>
        </w:tc>
        <w:tc>
          <w:tcPr>
            <w:tcW w:type="auto" w:w="1814"/>
          </w:tcPr>
          <w:p>
            <w:pPr>
              <w:jc w:val="left"/>
            </w:pPr>
            <w:r>
              <w:rPr>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vrijgaveadvies bevat de afgesproken onderdelen</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de OWASP Dependency Check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