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04-03-2024</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highlight w:val="yellow"/>
        </w:rPr>
        <w:t>{opdrachtgevende organisatie}</w:t>
      </w:r>
      <w:r>
        <w:t xml:space="preserve">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Behalen van kwaliteitsnormen</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het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highlight w:val="yellow"/>
        </w:rPr>
        <w:t>{opdrachtgevende organisatie}</w:t>
      </w:r>
      <w:r>
        <w:t xml:space="preserve"> zorgt dat het project bij de start van de voorfase inzicht heeft in de informatie die typisch wordt vastgelegd in een projectstartarchitectuur, business impact analysis en privacy impact assessment. Waar nodig werkt </w:t>
      </w:r>
      <w:r>
        <w:rPr>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operationeel en/of applicatiebeheer:}</w:t>
      </w:r>
      <w:r>
        <w:t xml:space="preserve"> beheerd dat deze de BIO-compliance van </w:t>
      </w:r>
      <w:r>
        <w:rPr>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2.1,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het project (bijvoorbeeld de testmanager) een vrijgaveadvies op. Eventuele afwijkingen in de kwaliteitsrapportage en hieruit voortvloeiende risico's ("rode metrieken") worden in het vrijgaveadvies toegelicht. De kwaliteitsmanager reviewt het vrijgaveadvies.</w:t>
      </w:r>
    </w:p>
    <w:p>
      <w:r>
        <w:t>Het vrijgaveadvies beschrijft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{Als operationeel beheer onderdeel is van de dienstverlening:}</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 checker,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WCAG-2.1-richtlijnen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vrijgaveadvies bevat de afgesproken onderdelen</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de OWASP Dependency Check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