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07-06-2023</w:t>
      </w:r>
    </w:p>
    <w:p>
      <w:r>
        <w:t xml:space="preserve">Verbeterpunten t.a.v. deze template graag melden via </w:t>
      </w:r>
      <w:hyperlink r:id="rId15">
        <w:r>
          <w:rPr>
            <w:rStyle w:val="Hyperlink"/>
          </w:rPr>
          <w:t>GitHub</w:t>
        </w:r>
      </w:hyperlink>
      <w:r>
        <w:t>.</w:t>
      </w:r>
    </w:p>
    <w:p>
      <w:pPr>
        <w:pStyle w:val="Kop1"/>
      </w:pPr>
      <w:r>
        <w:t>Managementsamenvatting</w:t>
      </w:r>
    </w:p>
    <w:p>
      <w:r>
        <w:t>ICTU hanteert voor het ontwikkelen van maatwerksoftware de ICTU Kwaliteitsaanpak Softwareontwikkeling. Deze Kwaliteitsaanpak houdt in dat ICTU voor elk softwareproject een aantal standaard maatregelen toepast, min of meer onafhankelijk van de precieze eisen die de opdrachtgever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de opdrachtgever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Kwaliteitsmanagement is gericht op het borgen dat het projectresultaat voldoet aan de kwaliteitseisen van de opdrachtgever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Werkwijze</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opdrachtgever,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t>De opdrachtgever zorgt dat het project bij de start van de voorfase inzicht heeft in de informatie die typisch wordt vastgelegd in een projectstartarchitectuur, business impact analysis en privacy impact assessment. Waar nodig werkt de opdrachtgever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De tijdens de voorfase geïdentificeerde eisen vormen het startpunt van de opdrachtgever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Het programma van eisen en de projectstartarchitectuur, beide opgesteld door de opdrachtgever,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de opdrachtgever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de opdrachtgever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opdrachtgever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opdrachtgever,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