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06-06-2023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{Bij toepassing van DevOps:}</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zorgt dat het product continu aan de kwaliteitsnormen voldoet</w:t>
      </w:r>
    </w:p>
    <w:p>
      <w:pPr>
        <w:pStyle w:val="Maatregel"/>
      </w:pPr>
      <w:r>
        <w:t>Producten voldoen zo snel mogelijk vanaf de start van een project aan de door het project en ICTU vastgestelde kwaliteitsnormen en blijven daar zo veel mogelijk aan voldoen.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Werkwijze</w:t>
      </w:r>
    </w:p>
    <w:p>
      <w:r>
        <w:t>Voor de realisatiefase wordt de agile ontwikkelmethode Scrum gebruikt (M05: Het project hanteert een iteratief en incrementeel ontwikkelproces). Voor de beheerfase wordt gebruik gemaakt van de DevOps-principes. Afwijkingen hierop worden alleen toegestaan met goedkeuring van de software delivery manager en kwaliteitsmanager.</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beheerpartij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DevOps:}</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{In het geval van DevOps:}</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{In het geval van DevOps:}</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het project geen DevOps doet:}</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het project geen DevOps doet:}</w:t>
      </w:r>
      <w:r>
        <w:t xml:space="preserve"> Merk op: de beveiliging van de software in de acceptatie- en productieomgeving kan niet door ICTU getest worden. Deze test moet de opdrachtgever of de beheerpartij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 Hierbij gaat de voorkeur uit naar beheer op basis van de principes van de DevOps-werkwijze.</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