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{de 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{de opdrachtgevende organisatie}</w:t>
            </w:r>
            <w:r>
              <w:t>.</w:t>
            </w:r>
          </w:p>
        </w:tc>
      </w:tr>
      <w:tr>
        <w:tc>
          <w:tcPr>
            <w:tcW w:type="auto" w:w="4535"/>
          </w:tcPr>
          <w:p>
            <w:pPr>
              <w:jc w:val="left"/>
            </w:pPr>
            <w:r>
              <w:t>U02</w:t>
            </w:r>
          </w:p>
        </w:tc>
        <w:tc>
          <w:tcPr>
            <w:tcW w:type="auto" w:w="4535"/>
          </w:tcPr>
          <w:p>
            <w:pPr>
              <w:jc w:val="left"/>
            </w:pPr>
            <w:r>
              <w:rPr>
                <w:highlight w:val="yellow"/>
              </w:rPr>
              <w:t>{de opdrachtgevende organisatie}</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{de 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{de 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{de 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 andere 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{de 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{de 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organisatie/andere partijen}</w:t>
      </w:r>
    </w:p>
    <w:p>
      <w:r>
        <w:t xml:space="preserve">Betrokkenheid van inhoudsdeskundigen van </w:t>
      </w:r>
      <w:r>
        <w:rPr>
          <w:highlight w:val="yellow"/>
        </w:rPr>
        <w:t>{opdrachtgevende organisatie/andere 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organisatie/andere 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{de 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{de opdrachtgevende organisatie/andere 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{andere 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