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18-03-2024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{partijen}</w:t>
      </w:r>
      <w:r>
        <w:t xml:space="preserve">, waarbij ICTU zo goed mogelijk gebruik maakt van de bij deze partijen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w:t>
            </w:r>
            <w:r>
              <w:rPr>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van </w:t>
      </w:r>
      <w:r>
        <w:rPr>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w:t>
      </w:r>
      <w:r>
        <w:t xml:space="preserve">, </w:t>
      </w:r>
      <w:r>
        <w:rPr>
          <w:highlight w:val="yellow"/>
        </w:rPr>
        <w:t>{partijen}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{opdrachtgevende organisatie}</w:t>
      </w:r>
      <w:r>
        <w:t xml:space="preserve"> deze later alsnog verwerken of ICTU vragen dit in een eventuele vervolgopdracht uit te voeren.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