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Realisatiefase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06-06-2023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w:t>
      </w:r>
      <w:r>
        <w:rPr>
          <w:highlight w:val="yellow"/>
        </w:rPr>
        <w:t>{voorfaseproject}</w:t>
      </w:r>
      <w:r>
        <w:t xml:space="preserve"> zijn de volgende activiteiten uitgevoerd:</w:t>
      </w:r>
    </w:p>
    <w:p>
      <w:pPr>
        <w:pStyle w:val="Lijstnummering1"/>
        <w:numPr>
          <w:ilvl w:val="0"/>
          <w:numId w:val="17"/>
        </w:numPr>
      </w:pPr>
      <w:r>
        <w:t xml:space="preserve">Vaststellen of het mogelijk is om binnen de door de opdrachtgever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tot </w:t>
      </w:r>
      <w:r>
        <w:rPr>
          <w:highlight w:val="yellow"/>
        </w:rPr>
        <w:t>{projectresultaat}</w:t>
      </w:r>
      <w:r>
        <w:t xml:space="preserve"> te komen, ontwikkelt ICTU in samenwerking met </w:t>
      </w:r>
      <w:r>
        <w:rPr>
          <w:highlight w:val="yellow"/>
        </w:rPr>
        <w:t>{partijen}</w:t>
      </w:r>
      <w:r>
        <w:t xml:space="preserve"> </w:t>
      </w:r>
      <w:r>
        <w:rPr>
          <w:highlight w:val="yellow"/>
        </w:rPr>
        <w:t>{de software}</w:t>
      </w:r>
      <w:r>
        <w:t xml:space="preserve">; zie voor een beschrijving hiervan het hoofdstuk "Producten". Dit plan van aanpak beschrijft verder de planning van en werkwijze tijdens de realisatiefase.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highlight w:val="yellow"/>
        </w:rPr>
        <w:t>{samenwerkende partijen}</w:t>
      </w:r>
      <w:r>
        <w:t xml:space="preserve">, waarbij ICTU zo goed mogelijk gebruik maakt van de bij </w:t>
      </w:r>
      <w:r>
        <w:rPr>
          <w:highlight w:val="yellow"/>
        </w:rPr>
        <w:t>{partijen}</w:t>
      </w:r>
      <w:r>
        <w:t xml:space="preserve"> aanwezige kennis en producten. Dit vraagt, naast de inspanning van ICTU, ook significante inzet van medewerkers van </w:t>
      </w:r>
      <w:r>
        <w:rPr>
          <w:highlight w:val="yellow"/>
        </w:rPr>
        <w:t>{partijen}</w:t>
      </w:r>
      <w:r>
        <w:t>; zie hiervoor het hoofdstuk "Werkwijze".</w:t>
      </w:r>
    </w:p>
    <w:p>
      <w:r>
        <w:rPr>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4.0.0-dev</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Het werven van personeel voor het uitvoeren van dit project start na ondertekening van het eveneens verstuurde voorstel inclusief projectovereenkomst door de opdrachtgever.</w:t>
            </w:r>
          </w:p>
        </w:tc>
      </w:tr>
      <w:tr>
        <w:tc>
          <w:tcPr>
            <w:tcW w:type="auto" w:w="4535"/>
          </w:tcPr>
          <w:p>
            <w:pPr>
              <w:jc w:val="left"/>
            </w:pPr>
            <w:r>
              <w:t>U02</w:t>
            </w:r>
          </w:p>
        </w:tc>
        <w:tc>
          <w:tcPr>
            <w:tcW w:type="auto" w:w="4535"/>
          </w:tcPr>
          <w:p>
            <w:pPr>
              <w:jc w:val="left"/>
            </w:pPr>
            <w:r>
              <w:rPr>
                <w:highlight w:val="yellow"/>
              </w:rPr>
              <w:t>{opdrachtgever}</w:t>
            </w:r>
            <w:r>
              <w:t xml:space="preserve"> is verantwoordelijk voor het betrekken van </w:t>
            </w:r>
            <w:r>
              <w:rPr>
                <w:highlight w:val="yellow"/>
              </w:rPr>
              <w:t>{de andere betrokken partijen}</w:t>
            </w:r>
            <w:r>
              <w:t xml:space="preserve"> en het tijdig opleveren van reviews.</w:t>
            </w:r>
          </w:p>
        </w:tc>
      </w:tr>
      <w:tr>
        <w:tc>
          <w:tcPr>
            <w:tcW w:type="auto" w:w="4535"/>
          </w:tcPr>
          <w:p>
            <w:pPr>
              <w:jc w:val="left"/>
            </w:pPr>
            <w:r>
              <w:t>U03</w:t>
            </w:r>
          </w:p>
        </w:tc>
        <w:tc>
          <w:tcPr>
            <w:tcW w:type="auto" w:w="4535"/>
          </w:tcPr>
          <w:p>
            <w:pPr>
              <w:jc w:val="left"/>
            </w:pPr>
            <w:r>
              <w:rPr>
                <w:highlight w:val="yellow"/>
              </w:rPr>
              <w:t>{opdrachtgever}</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realisatiefase is een vervolg op de voorfase </w:t>
      </w:r>
      <w:r>
        <w:rPr>
          <w:highlight w:val="yellow"/>
        </w:rPr>
        <w:t>{voorfaseproject}</w:t>
      </w:r>
      <w:r>
        <w:t>. De documenten die in die voorfase zijn gerealiseerd en die uitgangspunt zijn voor dit plan van aanpak zijn:</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Lijstopsomteken1"/>
        <w:numPr>
          <w:ilvl w:val="0"/>
        </w:numPr>
      </w:pPr>
      <w:r>
        <w:t xml:space="preserve">Softwarearchitectuurdocument (SAD), versie </w:t>
      </w:r>
      <w:r>
        <w:rPr>
          <w:highlight w:val="yellow"/>
        </w:rPr>
        <w:t>{versie}</w:t>
      </w:r>
      <w:r>
        <w:t>,</w:t>
      </w:r>
    </w:p>
    <w:p>
      <w:pPr>
        <w:pStyle w:val="Lijstopsomteken1"/>
        <w:numPr>
          <w:ilvl w:val="0"/>
        </w:numPr>
      </w:pPr>
      <w:r>
        <w:t xml:space="preserve">Infrastructuurarchitectuur (IA), versie </w:t>
      </w:r>
      <w:r>
        <w:rPr>
          <w:highlight w:val="yellow"/>
        </w:rPr>
        <w:t>{versie}</w:t>
      </w:r>
      <w:r>
        <w:t>,</w:t>
      </w:r>
    </w:p>
    <w:p>
      <w:pPr>
        <w:pStyle w:val="Lijstopsomteken1"/>
        <w:numPr>
          <w:ilvl w:val="0"/>
        </w:numPr>
      </w:pPr>
      <w:r>
        <w:t xml:space="preserve">High level design (HLD), versie </w:t>
      </w:r>
      <w:r>
        <w:rPr>
          <w:highlight w:val="yellow"/>
        </w:rPr>
        <w:t>{versie}</w:t>
      </w:r>
      <w:r>
        <w:t>,</w:t>
      </w:r>
    </w:p>
    <w:p>
      <w:pPr>
        <w:pStyle w:val="Lijstopsomteken1"/>
        <w:numPr>
          <w:ilvl w:val="0"/>
        </w:numPr>
      </w:pPr>
      <w:r>
        <w:t xml:space="preserve">Mastertestplan, versie </w:t>
      </w:r>
      <w:r>
        <w:rPr>
          <w:highlight w:val="yellow"/>
        </w:rPr>
        <w:t>{versie}</w:t>
      </w:r>
      <w:r>
        <w:t>,</w:t>
      </w:r>
    </w:p>
    <w:p>
      <w:pPr>
        <w:pStyle w:val="Lijstopsomteken1"/>
        <w:numPr>
          <w:ilvl w:val="0"/>
        </w:numPr>
      </w:pPr>
      <w:r>
        <w:t xml:space="preserve">Testplan softwarerealisatie, versie </w:t>
      </w:r>
      <w:r>
        <w:rPr>
          <w:highlight w:val="yellow"/>
        </w:rPr>
        <w:t>{versie}</w:t>
      </w:r>
      <w:r>
        <w:t>,</w:t>
      </w:r>
    </w:p>
    <w:p>
      <w:pPr>
        <w:pStyle w:val="Lijstopsomteken1"/>
        <w:numPr>
          <w:ilvl w:val="0"/>
        </w:numPr>
      </w:pPr>
      <w:r>
        <w:t xml:space="preserve">Informatiebeveiligingsplan (IB-plan), versie </w:t>
      </w:r>
      <w:r>
        <w:rPr>
          <w:highlight w:val="yellow"/>
        </w:rPr>
        <w:t>{versie}</w:t>
      </w:r>
      <w:r>
        <w:t>,</w:t>
      </w:r>
    </w:p>
    <w:p>
      <w:pPr>
        <w:pStyle w:val="Lijstopsomteken1"/>
        <w:numPr>
          <w:ilvl w:val="0"/>
        </w:numPr>
      </w:pPr>
      <w:r>
        <w:t xml:space="preserve">Kwaliteitsplan, versie </w:t>
      </w:r>
      <w:r>
        <w:rPr>
          <w:highlight w:val="yellow"/>
        </w:rPr>
        <w:t>{versie}</w:t>
      </w:r>
      <w:r>
        <w:t>,</w:t>
      </w:r>
    </w:p>
    <w:p>
      <w:pPr>
        <w:pStyle w:val="Lijstopsomteken1"/>
        <w:numPr>
          <w:ilvl w:val="0"/>
        </w:numPr>
      </w:pPr>
      <w:r>
        <w:t xml:space="preserve">Niet-functionele eisen (NFE), versie </w:t>
      </w:r>
      <w:r>
        <w:rPr>
          <w:highlight w:val="yellow"/>
        </w:rPr>
        <w:t>{versie}</w:t>
      </w:r>
      <w:r>
        <w:t>,</w:t>
      </w:r>
    </w:p>
    <w:p>
      <w:pPr>
        <w:pStyle w:val="Lijstopsomteken1"/>
        <w:numPr>
          <w:ilvl w:val="0"/>
        </w:numPr>
      </w:pPr>
      <w:r>
        <w:t xml:space="preserve">Globaal functioneel ontwerp (GFO), versie </w:t>
      </w:r>
      <w:r>
        <w:rPr>
          <w:highlight w:val="yellow"/>
        </w:rPr>
        <w:t>{versie}</w:t>
      </w:r>
      <w:r>
        <w:t>,</w:t>
      </w:r>
    </w:p>
    <w:p>
      <w:pPr>
        <w:pStyle w:val="Lijstopsomteken1"/>
        <w:numPr>
          <w:ilvl w:val="0"/>
        </w:numPr>
      </w:pPr>
      <w:r>
        <w:t xml:space="preserve">Interactie-ontwerp (UX), versie </w:t>
      </w:r>
      <w:r>
        <w:rPr>
          <w:highlight w:val="yellow"/>
        </w:rPr>
        <w:t>{versie}</w:t>
      </w:r>
      <w:r>
        <w:t>,</w:t>
      </w:r>
    </w:p>
    <w:p>
      <w:pPr>
        <w:pStyle w:val="Lijstopsomteken1"/>
        <w:numPr>
          <w:ilvl w:val="0"/>
        </w:numPr>
      </w:pPr>
      <w:r>
        <w:t xml:space="preserve">Geprioriteerde backlog met user stories, versie </w:t>
      </w:r>
      <w:r>
        <w:rPr>
          <w:highlight w:val="yellow"/>
        </w:rPr>
        <w:t>{versie}</w:t>
      </w:r>
      <w:r>
        <w:t>,</w:t>
      </w:r>
    </w:p>
    <w:p>
      <w:pPr>
        <w:pStyle w:val="Lijstopsomteken1"/>
        <w:numPr>
          <w:ilvl w:val="0"/>
        </w:numPr>
      </w:pPr>
      <w:r>
        <w:t xml:space="preserve">Vastgesteld minimal viable product, versie </w:t>
      </w:r>
      <w:r>
        <w:rPr>
          <w:highlight w:val="yellow"/>
        </w:rPr>
        <w:t>{versie}</w:t>
      </w:r>
      <w:r>
        <w:t>,</w:t>
      </w:r>
    </w:p>
    <w:p>
      <w:pPr>
        <w:pStyle w:val="Lijstopsomteken1"/>
        <w:numPr>
          <w:ilvl w:val="0"/>
        </w:numPr>
      </w:pPr>
      <w:r>
        <w:t xml:space="preserve">Wireframe, mockup, prototype, animatie, versie </w:t>
      </w:r>
      <w:r>
        <w:rPr>
          <w:highlight w:val="yellow"/>
        </w:rPr>
        <w:t>{versie}</w:t>
      </w:r>
      <w:r>
        <w:t>,</w:t>
      </w:r>
    </w:p>
    <w:p>
      <w:pPr>
        <w:pStyle w:val="Lijstopsomteken1"/>
        <w:numPr>
          <w:ilvl w:val="0"/>
        </w:numPr>
      </w:pPr>
      <w:r>
        <w:t xml:space="preserve">Tussentijdse rapportage t.b.v. go/no-go besluit, versie </w:t>
      </w:r>
      <w:r>
        <w:rPr>
          <w:highlight w:val="yellow"/>
        </w:rPr>
        <w:t>{versie}</w:t>
      </w:r>
      <w:r>
        <w:t>.</w:t>
      </w:r>
    </w:p>
    <w:p>
      <w:r>
        <w:rPr>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highlight w:val="yellow"/>
        </w:rPr>
        <w:t>{ontwikkelen en/of onderhouden}</w:t>
      </w:r>
      <w:r>
        <w:t xml:space="preserve"> software </w:t>
      </w:r>
      <w:r>
        <w:rPr>
          <w:highlight w:val="yellow"/>
        </w:rPr>
        <w:t>{beschrijving functionaliteit in hoofdlijnen van de software}</w:t>
      </w:r>
      <w:r>
        <w:t>.</w:t>
      </w:r>
    </w:p>
    <w:p>
      <w:r>
        <w:t xml:space="preserve">De software komt tot stand door middel van een agile aanpak met een doorlooptijd van </w:t>
      </w:r>
      <w:r>
        <w:rPr>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een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highlight w:val="yellow"/>
        </w:rPr>
        <w:t>{eventueel bijgewerkte andere documentatie waarvoor ICTU verantwoordelijk en/of penvoerder is, zoals testplannen en kwaliteitsplan}</w:t>
      </w:r>
      <w:r>
        <w:t>.</w:t>
      </w:r>
    </w:p>
    <w:p>
      <w:r>
        <w:rPr>
          <w:highlight w:val="yellow"/>
        </w:rPr>
        <w:t>{Als operationeel beheer onderdeel is van de dienstverlening: Het DevOps-team voert operationele beheertaken uit, conform overeengekomen kwaliteitsniveaus (quality of services). Hiertoe maakt het project beheerafspraken met de opdrachtgever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highlight w:val="yellow"/>
        </w:rPr>
        <w:t>{ontwikkeling en/of het onderhoud}</w:t>
      </w:r>
      <w:r>
        <w:t xml:space="preserve"> van </w:t>
      </w:r>
      <w:r>
        <w:rPr>
          <w:highlight w:val="yellow"/>
        </w:rPr>
        <w:t>{de software}</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 Checker, OWASP ZAP, OpenVAS), toegankelijkheid (Axe), performancetesten (JMeter) en integrale kwaliteitsrapportage (Quality-time),</w:t>
      </w:r>
    </w:p>
    <w:p>
      <w:pPr>
        <w:pStyle w:val="Lijstopsomteken1"/>
        <w:numPr>
          <w:ilvl w:val="0"/>
        </w:numPr>
      </w:pPr>
      <w:r>
        <w:rPr>
          <w:highlight w:val="yellow"/>
        </w:rPr>
        <w:t>{Als operationeel beheer onderdeel is van de dienstverlening:}</w:t>
      </w:r>
      <w:r>
        <w:t xml:space="preserve"> Uitrollen in de productieomgeving (Ansible), container registry (Harbor), performance monitoring (APM), security monitoring (</w:t>
      </w:r>
      <w:r>
        <w:rPr>
          <w:highlight w:val="yellow"/>
        </w:rPr>
        <w:t>{vul aan met concreet product}</w:t>
      </w:r>
      <w:r>
        <w:t>), controle van kwetsbaarheden in frameworks (</w:t>
      </w:r>
      <w:r>
        <w:rPr>
          <w:highlight w:val="yellow"/>
        </w:rPr>
        <w:t>{vul aan met concreet product}</w:t>
      </w:r>
      <w:r>
        <w:t>), controle van images van containers (Trivy), registratie van incidenten bij gebruik en beheer (Topdesk of Jira).</w:t>
      </w:r>
    </w:p>
    <w:p>
      <w:pPr>
        <w:pStyle w:val="Lijstopsomteken1"/>
        <w:numPr>
          <w:ilvl w:val="0"/>
        </w:numPr>
      </w:pPr>
      <w:r>
        <w:t>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highlight w:val="yellow"/>
        </w:rPr>
        <w:t>{Beschrijf hier eventuele andere afspraken met opdrachtgever}</w:t>
      </w:r>
      <w:r>
        <w:t>.</w:t>
      </w:r>
    </w:p>
    <w:p>
      <w:r>
        <w:rPr>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opdrachtgever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highlight w:val="yellow"/>
        </w:rPr>
        <w:t>{opdrachtgever}</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highlight w:val="yellow"/>
        </w:rPr>
        <w:t>{Vul aan en pas aan waar nodig}</w:t>
      </w:r>
    </w:p>
    <w:p>
      <w:pPr>
        <w:pStyle w:val="Kop2"/>
      </w:pPr>
      <w:r>
        <w:t>Werving</w:t>
      </w:r>
    </w:p>
    <w:p>
      <w:r>
        <w:t xml:space="preserve">Direct na de opdrachtverstrekking start ICTU met de bemensing van het project ten behoeve van de realisatiefase. </w:t>
      </w:r>
      <w:r>
        <w:rPr>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highlight w:val="yellow"/>
        </w:rPr>
        <w:t>{Opdrachtgever/partijen}</w:t>
      </w:r>
      <w:r>
        <w:t xml:space="preserve"> en ICTU werken gezamenlijk aan de op te leveren software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Vertegenwoordigers van het project nemen deel aan de volgende overleggen met de opdrachtgever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software</w:t>
      </w:r>
    </w:p>
    <w:p>
      <w:r>
        <w:t xml:space="preserve">De realisatiefase bestaat uit </w:t>
      </w:r>
      <w:r>
        <w:rPr>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highlight w:val="yellow"/>
        </w:rPr>
        <w:t>{opdrachtgever}</w:t>
      </w:r>
      <w:r>
        <w:t xml:space="preserve"> deze later alsnog verwerken of ICTU vragen dit in een eventuele vervolgopdracht uit te voeren.</w:t>
      </w:r>
    </w:p>
    <w:p>
      <w:r>
        <w:rPr>
          <w:highlight w:val="yellow"/>
        </w:rPr>
        <w:t>{Beschrijf hier de afspraken tussen ICTU en opdrachtgever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Inzet </w:t>
      </w:r>
      <w:r>
        <w:rPr>
          <w:highlight w:val="yellow"/>
        </w:rPr>
        <w:t>{opdrachtgever/partijen}</w:t>
      </w:r>
    </w:p>
    <w:p>
      <w:r>
        <w:t xml:space="preserve">Betrokkenheid van inhoudsdeskundigen van </w:t>
      </w:r>
      <w:r>
        <w:rPr>
          <w:highlight w:val="yellow"/>
        </w:rPr>
        <w:t>{opdrachtgever/partijen}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opdrachtgever.</w:t>
      </w:r>
    </w:p>
    <w:p>
      <w:r>
        <w:t xml:space="preserve">Onderstaand is de verwachte inzet van </w:t>
      </w:r>
      <w:r>
        <w:rPr>
          <w:highlight w:val="yellow"/>
        </w:rPr>
        <w:t>{opdrachtgever/partijen}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(Opdrachtgever)</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Prioritering user stories, sprintplanning, demo, onderhouden backlog</w:t>
            </w:r>
          </w:p>
        </w:tc>
      </w:tr>
      <w:tr>
        <w:tc>
          <w:tcPr>
            <w:tcW w:type="auto" w:w="3023"/>
          </w:tcPr>
          <w:p>
            <w:pPr>
              <w:jc w:val="left"/>
            </w:pPr>
            <w:r>
              <w:t>Business analist</w:t>
            </w:r>
          </w:p>
        </w:tc>
        <w:tc>
          <w:tcPr>
            <w:tcW w:type="auto" w:w="3023"/>
          </w:tcPr>
          <w:p>
            <w:pPr>
              <w:jc w:val="left"/>
            </w:pPr>
            <w:r>
              <w:rPr>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Bewaken en onderhouden infrastructuurarchitectuur, opstellen high level design (HLD)</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highlight w:val="yellow"/>
        </w:rPr>
        <w:t>{aantal}</w:t>
      </w:r>
      <w:r>
        <w:t xml:space="preserve"> weken na ondertekening van het voorstel inclusief projectovereenkomst plaats. In deze periode bemensen zowel ICTU als </w:t>
      </w:r>
      <w:r>
        <w:rPr>
          <w:highlight w:val="yellow"/>
        </w:rPr>
        <w:t>{opdrachtgever}</w:t>
      </w:r>
      <w:r>
        <w:t xml:space="preserve"> het project. Daarbij is rekening gehouden met de doorlooptijd van de werving en selectie van de geschikte mensen.</w:t>
      </w:r>
    </w:p>
    <w:p>
      <w:r>
        <w:t xml:space="preserve">De verwachte doorlooptijd van de uitvoering van dit plan van aanpak is </w:t>
      </w:r>
      <w:r>
        <w:rPr>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{opdrachtgever/partijen}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{opdrachtgever}</w:t>
            </w:r>
            <w:r>
              <w:t xml:space="preserve">, </w:t>
            </w:r>
            <w:r>
              <w:rPr>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t>De risico’s worden door het project bijgehouden in het risicolog. De risico’s en de mitigerende maatregelen worden in de realisatiefase bewaakt en waar nodig geactualiseerd.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 xml:space="preserve">Wekelijks projectoverleg, samenwerken door middel van werkgroepen en fysiek bij elkaar komen, kick-off met alle betrokkenen waarbij </w:t>
            </w:r>
            <w:r>
              <w:rPr>
                <w:highlight w:val="yellow"/>
              </w:rPr>
              <w:t>{opdrachtgever}</w:t>
            </w:r>
            <w:r>
              <w:t xml:space="preserve"> de productvisie uiteenzet.</w:t>
            </w:r>
          </w:p>
        </w:tc>
      </w:tr>
      <w:tr>
        <w:tc>
          <w:tcPr>
            <w:tcW w:type="auto" w:w="4535"/>
          </w:tcPr>
          <w:p>
            <w:pPr>
              <w:jc w:val="left"/>
            </w:pPr>
            <w:r>
              <w:t>Scope-uitbreiding, gebrek aan focus</w:t>
            </w:r>
          </w:p>
        </w:tc>
        <w:tc>
          <w:tcPr>
            <w:tcW w:type="auto" w:w="4535"/>
          </w:tcPr>
          <w:p>
            <w:pPr>
              <w:jc w:val="left"/>
            </w:pPr>
            <w:r>
              <w:t xml:space="preserve">Scope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{Bij DevOps werkwijze}</w:t>
            </w:r>
            <w:r>
              <w:t xml:space="preserve"> Onduidelijkheid over de verdeling van verantwoordelijkheden tussen DevOps-team en beheerorganisatie (incident management, backup &amp; restore, etc.)</w:t>
            </w:r>
          </w:p>
        </w:tc>
        <w:tc>
          <w:tcPr>
            <w:tcW w:type="auto" w:w="4535"/>
          </w:tcPr>
          <w:p>
            <w:pPr>
              <w:jc w:val="left"/>
            </w:pPr>
            <w:r>
              <w:t>Afspraken over onderlinge samenwerking vastleggen in een dossier afspraken en procedures (DAP).</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highlight w:val="yellow"/>
              </w:rPr>
              <w:t>{x}</w:t>
            </w:r>
            <w:r>
              <w:t xml:space="preserve"> uur</w:t>
            </w:r>
          </w:p>
        </w:tc>
        <w:tc>
          <w:tcPr>
            <w:tcW w:type="auto" w:w="3023"/>
          </w:tcPr>
          <w:p>
            <w:pPr>
              <w:jc w:val="left"/>
            </w:pPr>
            <w:r>
              <w:t>Opstellen logische testgevallen, ontwikkelen en uitvoeren fysieke testgevallen, opstellen testrapportages en vrijgaveadvies</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onderhouden UX-richtlijnen, maken en onderhouden prototype </w:t>
            </w:r>
            <w:r>
              <w:rPr>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Opdrachtgevers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highlight w:val="yellow"/>
              </w:rPr>
              <w:t>{Projectspecifieke producten}</w:t>
            </w:r>
          </w:p>
        </w:tc>
        <w:tc>
          <w:tcPr>
            <w:tcW w:type="auto" w:w="2267"/>
          </w:tcPr>
          <w:p>
            <w:pPr>
              <w:jc w:val="left"/>
            </w:pPr>
            <w:r>
              <w:rPr>
                <w:highlight w:val="yellow"/>
              </w:rPr>
              <w:t>{waar}</w:t>
            </w:r>
          </w:p>
        </w:tc>
        <w:tc>
          <w:tcPr>
            <w:tcW w:type="auto" w:w="2267"/>
          </w:tcPr>
          <w:p>
            <w:pPr>
              <w:jc w:val="left"/>
            </w:pPr>
            <w:r>
              <w:rPr>
                <w:highlight w:val="yellow"/>
              </w:rPr>
              <w:t>{wie}</w:t>
            </w:r>
          </w:p>
        </w:tc>
        <w:tc>
          <w:tcPr>
            <w:tcW w:type="auto" w:w="2267"/>
          </w:tcPr>
          <w:p>
            <w:pPr>
              <w:jc w:val="left"/>
            </w:pPr>
            <w:r>
              <w:rPr>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