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04-03-2024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{partijen}</w:t>
      </w:r>
      <w:r>
        <w:t xml:space="preserve">, waarbij ICTU zo goed mogelijk gebruik maakt van de bij deze partijen aanwezige kennis en producten. Dit vraagt, naast de inspanning van ICTU, ook substantiële inzet van medewerkers van </w:t>
      </w:r>
      <w:r>
        <w:rPr>
          <w:highlight w:val="yellow"/>
        </w:rPr>
        <w:t>{partijen}</w:t>
      </w:r>
      <w:r>
        <w:t>; zie hiervoor het hoofdstuk "Werkwijze".</w:t>
      </w:r>
    </w:p>
    <w:p>
      <w:r>
        <w:rPr>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Detailtestplan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{opdrachtgevende organisatie}</w:t>
      </w:r>
      <w:r>
        <w:t xml:space="preserve"> en </w:t>
      </w:r>
      <w:r>
        <w:rPr>
          <w:highlight w:val="yellow"/>
        </w:rPr>
        <w:t>{partijen}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{opdrachtgevende organisatie}</w:t>
      </w:r>
      <w:r>
        <w:t xml:space="preserve"> en </w:t>
      </w:r>
      <w:r>
        <w:rPr>
          <w:highlight w:val="yellow"/>
        </w:rPr>
        <w:t>{partijen}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{opdrachtgevende organisatie}</w:t>
      </w:r>
      <w:r>
        <w:t xml:space="preserve"> en </w:t>
      </w:r>
      <w:r>
        <w:rPr>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highlight w:val="yellow"/>
              </w:rPr>
              <w:t>{beheerorganisatie}</w:t>
            </w:r>
            <w:r>
              <w:t>)</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detailtestplan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