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06-12-2024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{partijen}</w:t>
      </w:r>
      <w:r>
        <w:t xml:space="preserve">, waarbij ICTU zo goed mogelijk gebruik maakt van de bij deze partijen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Detailtestplan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{opdrachtgevende organisatie}</w:t>
      </w:r>
      <w:r>
        <w:t xml:space="preserve"> en </w:t>
      </w:r>
      <w:r>
        <w:rPr>
          <w:highlight w:val="yellow"/>
        </w:rPr>
        <w:t>{partijen}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{opdrachtgevende organisatie}</w:t>
      </w:r>
      <w:r>
        <w:t xml:space="preserve"> en </w:t>
      </w:r>
      <w:r>
        <w:rPr>
          <w:highlight w:val="yellow"/>
        </w:rPr>
        <w:t>{partijen}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{opdrachtgevende organisatie}</w:t>
      </w:r>
      <w:r>
        <w:t xml:space="preserve"> en </w:t>
      </w:r>
      <w:r>
        <w:rPr>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highlight w:val="yellow"/>
              </w:rPr>
              <w:t>{beheerorganisatie}</w:t>
            </w:r>
            <w:r>
              <w:t>)</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detailtestplan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