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02-06-2023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de opdrachtgever gestelde kaders productierijpe software op te leveren </w:t>
      </w:r>
      <w:r>
        <w:rPr>
          <w:highlight w:val="yellow"/>
        </w:rPr>
        <w:t>{in geval van DevOps: 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substantiële inzet van medewerkers van </w:t>
      </w:r>
      <w:r>
        <w:rPr>
          <w:highlight w:val="yellow"/>
        </w:rPr>
        <w:t>{partijen}</w:t>
      </w:r>
      <w:r>
        <w:t>; zie hiervoor het hoofdstuk "Werkwijze".</w:t>
      </w:r>
    </w:p>
    <w:p>
      <w:r>
        <w:rPr>
          <w:highlight w:val="yellow"/>
        </w:rPr>
        <w:t>{Als de beheerpartij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beheerpartij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3.1.0-dev</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High level design (HLD)</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{opdrachtgever/partijen}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{opdrachtgever}</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{Opdrachtgever/partijen}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Vertegenwoordigers van het project nemen deel aan de volgende overleggen met de opdrachtgever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De voorfase is op basis van sprints ingericht. Aan het einde van elke sprint zijn alle tot dan toe opgedane inzichten verwerkt in de producten. Na de laatste sprint levert ICTU het geheel op aan de opdrachtgever.</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{opdrachtgever/partijen}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en high level design (HLD),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(Beheerpartij)</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opdrachtgever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Opdrachtgevers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