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de opdrachtgever gestelde kaders productierijpe software op te leveren </w:t>
      </w:r>
      <w:r>
        <w:rPr>
          <w:highlight w:val="yellow"/>
        </w:rPr>
        <w:t>{in geval van DevOps: 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substantiële inzet van medewerkers van </w:t>
      </w:r>
      <w:r>
        <w:rPr>
          <w:highlight w:val="yellow"/>
        </w:rPr>
        <w:t>{partijen}</w:t>
      </w:r>
      <w:r>
        <w:t>; zie hiervoor het hoofdstuk "Werkwijze".</w:t>
      </w:r>
    </w:p>
    <w:p>
      <w:r>
        <w:rPr>
          <w:highlight w:val="yellow"/>
        </w:rPr>
        <w:t>{Als de beheerpartij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beheerpartij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3.1.0-dev</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High level design (HLD)</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{opdrachtgever/partijen}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{opdrachtgever}</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{Opdrachtgever/partijen}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pPr>
        <w:pStyle w:val="Kop2"/>
      </w:pPr>
      <w:r>
        <w:t>Projectbesturing</w:t>
      </w:r>
    </w:p>
    <w:p>
      <w:r>
        <w:rPr>
          <w:highlight w:val="yellow"/>
        </w:rPr>
        <w:t>{Beschrijf kort de governancestructuur: stuurgroep, rapportage- en escalatielijnen}</w:t>
      </w:r>
    </w:p>
    <w:p>
      <w:pPr>
        <w:pStyle w:val="Kop2"/>
      </w:pPr>
      <w:r>
        <w:t>Oplevering producten</w:t>
      </w:r>
    </w:p>
    <w:p>
      <w:r>
        <w:t>De voorfase is op basis van sprints ingericht. Aan het einde van elke sprint zijn alle tot dan toe opgedane inzichten verwerkt in de producten. Na de laatste sprint levert ICTU het geheel op aan de opdrachtgever.</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{opdrachtgever/partijen}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en high level design (HLD),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(Beheerpartij)</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opdrachtgever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Opdrachtgevers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