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Plan van Aanpak Voorfase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23-09-2025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voert ICTU, voor de realisatiefase waarin de software wordt ontwikkeld, een "voorfase" uit.</w:t>
      </w:r>
    </w:p>
    <w:p>
      <w:r>
        <w:t>De voorfase heeft de volgende doelen:</w:t>
      </w:r>
    </w:p>
    <w:p>
      <w:pPr>
        <w:pStyle w:val="Lijstnummering1"/>
        <w:numPr>
          <w:ilvl w:val="0"/>
          <w:numId w:val="17"/>
        </w:numPr>
      </w:pPr>
      <w:r>
        <w:t xml:space="preserve">Vaststellen of het mogelijk is om binnen de door </w:t>
      </w:r>
      <w:r>
        <w:rPr>
          <w:color w:val="000000"/>
          <w:highlight w:val="yellow"/>
        </w:rPr>
        <w:t>{opdrachtgevende organisatie}</w:t>
      </w:r>
      <w:r>
        <w:t xml:space="preserve"> gestelde kaders productierijpe software op te leveren </w:t>
      </w:r>
      <w:r>
        <w:rPr>
          <w:color w:val="000000"/>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product backlog is voorzien bij de start.</w:t>
      </w:r>
    </w:p>
    <w:p>
      <w:r>
        <w:t xml:space="preserve">Om deze doelen te realiseren, ontwikkelt ICTU in samenwerking met </w:t>
      </w:r>
      <w:r>
        <w:rPr>
          <w:color w:val="000000"/>
          <w:highlight w:val="yellow"/>
        </w:rPr>
        <w:t>{partijen}</w:t>
      </w:r>
      <w:r>
        <w:t xml:space="preserve"> een aantal producten, zie voor een beschrijving hiervan het hoofdstuk "Projectresultaat". Dit plan van aanpak beschrijft verder de planning van en werkwijze tijdens de voorfase. Het is een aanvulling op het voorstel inclusief projectovereenkomst </w:t>
      </w:r>
      <w:r>
        <w:rPr>
          <w:color w:val="000000"/>
          <w:highlight w:val="yellow"/>
        </w:rPr>
        <w:t>{titel, versie en datum}</w:t>
      </w:r>
      <w:r>
        <w:t>.</w:t>
      </w:r>
    </w:p>
    <w:p>
      <w:pPr>
        <w:pStyle w:val="Kop2"/>
      </w:pPr>
      <w:r>
        <w:t>Doelgroep</w:t>
      </w:r>
    </w:p>
    <w:p>
      <w:r>
        <w:t xml:space="preserve">Dit plan van aanpak is in eerste instantie bestemd voor de opdrachtgever van </w:t>
      </w:r>
      <w:r>
        <w:rPr>
          <w:color w:val="000000"/>
          <w:highlight w:val="yellow"/>
        </w:rPr>
        <w:t>{opdrachtgevende organisatie}</w:t>
      </w:r>
      <w:r>
        <w:t>. Het plan biedt ook inzicht en overzicht aan andere betrokkenen bij het project, onder wie projectmedewerkers van ICTU.</w:t>
      </w:r>
    </w:p>
    <w:p>
      <w:r>
        <w:t xml:space="preserve">ICTU voert de voorfase uit in nauwe samenwerking met </w:t>
      </w:r>
      <w:r>
        <w:rPr>
          <w:color w:val="000000"/>
          <w:highlight w:val="yellow"/>
        </w:rPr>
        <w:t>{partijen}</w:t>
      </w:r>
      <w:r>
        <w:t xml:space="preserve">, waarbij ICTU zo goed mogelijk gebruik maakt van de bij deze partijen aanwezige kennis en producten. Dit vraagt, naast de inspanning van ICTU, ook substantiële inzet van medewerkers van </w:t>
      </w:r>
      <w:r>
        <w:rPr>
          <w:color w:val="000000"/>
          <w:highlight w:val="yellow"/>
        </w:rPr>
        <w:t>{partijen}</w:t>
      </w:r>
      <w:r>
        <w:t>; zie hiervoor het hoofdstuk "Werkwijze".</w:t>
      </w:r>
    </w:p>
    <w:p>
      <w:r>
        <w:rPr>
          <w:color w:val="000000"/>
          <w:highlight w:val="yellow"/>
        </w:rPr>
        <w:t>{Als de beheerorganisatie bij start van de voorfase nog niet bekend is, vormt dat waarschijnlijk een aanzienlijk risico voor het project. Benoem hier dat deze onbekende partij wel degelijk tot de doelgroep van dit document behoort. Verwijs naar het hoofdstuk "Werkwijze" voor de getroffen maatregelen om de nog niet gemaakte keuze voor een beheerorganisatie zoveel mogelijk te ondervangen. Geef aan dat aannames gemaakt zullen moeten worden rond zaken als productieplatform, releaseprocessen en beheerfunctionaliteit.}</w:t>
      </w:r>
    </w:p>
    <w:p>
      <w:pPr>
        <w:pStyle w:val="Kop2"/>
      </w:pPr>
      <w:r>
        <w:t>Kaders</w:t>
      </w:r>
    </w:p>
    <w:p>
      <w:r>
        <w:t xml:space="preserve">De volgende kaders zijn van toepassing op het softwareontwikkelingsproces. Merk op dat kaders die van toepassing zijn op het tijdens de realisatiefase te realiseren </w:t>
      </w:r>
      <w:r>
        <w:rPr>
          <w:i/>
        </w:rPr>
        <w:t>product</w:t>
      </w:r>
      <w:r>
        <w:t xml:space="preserve"> opgenomen zijn en/of worden in PSA, NFE en/of product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7510-2:2024 -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2024 -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color w:val="000000"/>
                <w:highlight w:val="yellow"/>
              </w:rPr>
              <w:t>{opdrachtgevende organisatie}</w:t>
            </w:r>
            <w:r>
              <w:t>.</w:t>
            </w:r>
          </w:p>
        </w:tc>
      </w:tr>
      <w:tr>
        <w:tc>
          <w:tcPr>
            <w:tcW w:type="auto" w:w="4535"/>
          </w:tcPr>
          <w:p>
            <w:pPr>
              <w:jc w:val="left"/>
            </w:pPr>
            <w:r>
              <w:t>U02</w:t>
            </w:r>
          </w:p>
        </w:tc>
        <w:tc>
          <w:tcPr>
            <w:tcW w:type="auto" w:w="4535"/>
          </w:tcPr>
          <w:p>
            <w:pPr>
              <w:jc w:val="left"/>
            </w:pPr>
            <w:r>
              <w:rPr>
                <w:color w:val="000000"/>
                <w:highlight w:val="yellow"/>
              </w:rPr>
              <w:t>{opdrachtgevende organisatie}</w:t>
            </w:r>
            <w:r>
              <w:t xml:space="preserve"> is verantwoordelijk voor het betrekken van eventuele andere partijen bij het project en het tijdig opleveren van reviews.</w:t>
            </w:r>
          </w:p>
        </w:tc>
      </w:tr>
      <w:tr>
        <w:tc>
          <w:tcPr>
            <w:tcW w:type="auto" w:w="4535"/>
          </w:tcPr>
          <w:p>
            <w:pPr>
              <w:jc w:val="left"/>
            </w:pPr>
            <w:r>
              <w:t>U03</w:t>
            </w:r>
          </w:p>
        </w:tc>
        <w:tc>
          <w:tcPr>
            <w:tcW w:type="auto" w:w="4535"/>
          </w:tcPr>
          <w:p>
            <w:pPr>
              <w:jc w:val="left"/>
            </w:pPr>
            <w:r>
              <w:rPr>
                <w:color w:val="000000"/>
                <w:highlight w:val="yellow"/>
              </w:rPr>
              <w:t>{opdrachtgevende organisatie}</w:t>
            </w:r>
            <w:r>
              <w:t xml:space="preserve"> is verantwoordelijk voor het aanstellen van een product owner met voldoende kennis, tijd en mandaat.</w:t>
            </w:r>
          </w:p>
        </w:tc>
      </w:tr>
      <w:tr>
        <w:tc>
          <w:tcPr>
            <w:tcW w:type="auto" w:w="4535"/>
          </w:tcPr>
          <w:p>
            <w:pPr>
              <w:jc w:val="left"/>
            </w:pPr>
            <w:r>
              <w:t>U04</w:t>
            </w:r>
          </w:p>
        </w:tc>
        <w:tc>
          <w:tcPr>
            <w:tcW w:type="auto" w:w="4535"/>
          </w:tcPr>
          <w:p>
            <w:pPr>
              <w:jc w:val="left"/>
            </w:pPr>
            <w:r>
              <w:rPr>
                <w:color w:val="000000"/>
                <w:highlight w:val="yellow"/>
              </w:rPr>
              <w:t>{opdrachtgevende organisatie}</w:t>
            </w:r>
            <w:r>
              <w:t xml:space="preserve"> is verantwoordelijk voor het betrekken van vertegenwoordigers van </w:t>
            </w:r>
            <w:r>
              <w:rPr>
                <w:color w:val="000000"/>
                <w:highlight w:val="yellow"/>
              </w:rPr>
              <w:t>{opdrachtgevende organisatie}</w:t>
            </w:r>
            <w:r>
              <w:t xml:space="preserve"> en </w:t>
            </w:r>
            <w:r>
              <w:rPr>
                <w:color w:val="000000"/>
                <w:highlight w:val="yellow"/>
              </w:rPr>
              <w:t>{partijen}</w:t>
            </w:r>
            <w:r>
              <w:t xml:space="preserve"> met voldoende kennis, tijd en mandaat.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Dit plan van aanpak is gebaseerd op de volgende documenten </w:t>
      </w:r>
      <w:r>
        <w:rPr>
          <w:color w:val="000000"/>
          <w:highlight w:val="yellow"/>
        </w:rPr>
        <w:t>{pas aan en breid uit waar nodig}</w:t>
      </w:r>
      <w:r>
        <w:t>:</w:t>
      </w:r>
    </w:p>
    <w:p>
      <w:pPr>
        <w:pStyle w:val="Lijstopsomteken1"/>
        <w:numPr>
          <w:ilvl w:val="0"/>
        </w:numPr>
      </w:pPr>
      <w:r>
        <w:t xml:space="preserve">Projectstartarchitectuur (PSA), versie </w:t>
      </w:r>
      <w:r>
        <w:rPr>
          <w:color w:val="000000"/>
          <w:highlight w:val="yellow"/>
        </w:rPr>
        <w:t>{versie}</w:t>
      </w:r>
      <w:r>
        <w:t>,</w:t>
      </w:r>
    </w:p>
    <w:p>
      <w:pPr>
        <w:pStyle w:val="Lijstopsomteken1"/>
        <w:numPr>
          <w:ilvl w:val="0"/>
        </w:numPr>
      </w:pPr>
      <w:r>
        <w:t xml:space="preserve">Business impact analyse (BIA), versie </w:t>
      </w:r>
      <w:r>
        <w:rPr>
          <w:color w:val="000000"/>
          <w:highlight w:val="yellow"/>
        </w:rPr>
        <w:t>{versie}</w:t>
      </w:r>
      <w:r>
        <w:t>,</w:t>
      </w:r>
    </w:p>
    <w:p>
      <w:pPr>
        <w:pStyle w:val="Lijstopsomteken1"/>
        <w:numPr>
          <w:ilvl w:val="0"/>
        </w:numPr>
      </w:pPr>
      <w:r>
        <w:t xml:space="preserve">Data protection impact assessment (DPIA), versie </w:t>
      </w:r>
      <w:r>
        <w:rPr>
          <w:color w:val="000000"/>
          <w:highlight w:val="yellow"/>
        </w:rPr>
        <w:t>{versie}</w:t>
      </w:r>
      <w:r>
        <w:t>,</w:t>
      </w:r>
    </w:p>
    <w:p>
      <w:pPr>
        <w:pStyle w:val="Lijstopsomteken1"/>
        <w:numPr>
          <w:ilvl w:val="0"/>
        </w:numPr>
      </w:pPr>
      <w:r>
        <w:t xml:space="preserve">Impact assessment mensenrechten en algoritmes (IAMA), versie </w:t>
      </w:r>
      <w:r>
        <w:rPr>
          <w:color w:val="000000"/>
          <w:highlight w:val="yellow"/>
        </w:rPr>
        <w:t>{versie}</w:t>
      </w:r>
      <w:r>
        <w:t>.</w:t>
      </w:r>
    </w:p>
    <w:p>
      <w:pPr>
        <w:pStyle w:val="Kop2"/>
      </w:pPr>
      <w:r>
        <w:t>Leeswijzer</w:t>
      </w:r>
    </w:p>
    <w:p>
      <w:r>
        <w:t xml:space="preserve">Hoofdstuk 3 beschrijft de in de voorfase op te leveren producten. In hoofdstuk 4 staat de werkwijze voor de voorfase. Hoofdstuk 5 beschrijft de planning en doorlooptijd van het project. Hoofdstuk 6 geeft de randvoorwaarden die ingevuld dienen te zijn bij de start van voorfase. Hoofdstuk 7 beschrijft de bekende projectrisico's en de getroffen tegenmaatregelen. Hoofdstuk 8 bevat de verwachte inzet door ICTU.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Om tot </w:t>
      </w:r>
      <w:r>
        <w:rPr>
          <w:color w:val="000000"/>
          <w:highlight w:val="yellow"/>
        </w:rPr>
        <w:t>{projectresultaat}</w:t>
      </w:r>
      <w:r>
        <w:t xml:space="preserve"> te komen, levert ICTU in samenwerking met </w:t>
      </w:r>
      <w:r>
        <w:rPr>
          <w:color w:val="000000"/>
          <w:highlight w:val="yellow"/>
        </w:rPr>
        <w:t>{partijen}</w:t>
      </w:r>
      <w:r>
        <w:t xml:space="preserve"> een aantal producten. Deze worden in dit hoofdstuk uitgewerkt. De producten komen tot stand door middel van een agile aanpak met een doorlooptijd van </w:t>
      </w:r>
      <w:r>
        <w:rPr>
          <w:color w:val="000000"/>
          <w:highlight w:val="yellow"/>
        </w:rPr>
        <w:t>{doorloop}</w:t>
      </w:r>
      <w:r>
        <w:t xml:space="preserve"> weken, waarbij ICTU het proces rondom het opstellen van de producten faciliteert; zie hiervoor het hoofdstuk “Werkwijze”.</w:t>
      </w:r>
    </w:p>
    <w:p>
      <w:pPr>
        <w:pStyle w:val="Kop2"/>
      </w:pPr>
      <w:r>
        <w:t>Producten</w:t>
      </w:r>
    </w:p>
    <w:p>
      <w:r>
        <w:t xml:space="preserve">In de voorfase worden de volgende producten gerealiseerd op basis van </w:t>
      </w:r>
      <w:r>
        <w:rPr>
          <w:color w:val="000000"/>
          <w:highlight w:val="yellow"/>
        </w:rPr>
        <w:t>{bronnen, zoals PSA, BIA en DPIA, indien beschikbaar}</w:t>
      </w:r>
      <w:r>
        <w:t>:</w:t>
      </w:r>
    </w:p>
    <w:p>
      <w:r>
        <w:rPr>
          <w:color w:val="000000"/>
          <w:highlight w:val="yellow"/>
        </w:rPr>
        <w:t>{Onderstaande tabel geeft de gangbare producten weer, verwijder of vul aan wat er voor de situatie van toepassing is.}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Onderdeel voorfase</w:t>
            </w:r>
          </w:p>
        </w:tc>
        <w:tc>
          <w:tcPr>
            <w:tcW w:type="auto" w:w="2267"/>
          </w:tcPr>
          <w:p>
            <w:pPr>
              <w:jc w:val="left"/>
            </w:pPr>
            <w:r>
              <w:t>Inhoudelijk verantwoordelijk</w:t>
            </w:r>
          </w:p>
        </w:tc>
        <w:tc>
          <w:tcPr>
            <w:tcW w:type="auto" w:w="2267"/>
          </w:tcPr>
          <w:p>
            <w:pPr>
              <w:jc w:val="left"/>
            </w:pPr>
            <w:r>
              <w:t>Penvoerder</w:t>
            </w:r>
          </w:p>
        </w:tc>
        <w:tc>
          <w:tcPr>
            <w:tcW w:type="auto" w:w="2267"/>
          </w:tcPr>
          <w:p>
            <w:pPr>
              <w:jc w:val="left"/>
            </w:pPr>
            <w:r>
              <w:t>Review en meewerken aan</w:t>
            </w:r>
          </w:p>
        </w:tc>
      </w:tr>
      <w:tr>
        <w:tc>
          <w:tcPr>
            <w:tcW w:type="auto" w:w="2267"/>
          </w:tcPr>
          <w:p>
            <w:pPr>
              <w:jc w:val="left"/>
            </w:pPr>
            <w:r>
              <w:t>Projectstartarchitectuur (PSA)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Business impact analyse (BIA)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Data protection impact assessment (DPIA)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Impact assessment mensenrechten en algoritmes (IAMA)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Globaal functioneel ontwerp (GFO)</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Interactie-ontwerp (UX)</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Softwarearchitectuurdocument (SAD)</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Infrastructuurarchitectuur (IA)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Product risico analyse (PRA)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Mastertestplan (op basis van PRA)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Detailtestplan softwarerealisatie</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Threat &amp; vulnerability assessment (TVA)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Informatiebeveiligingsplan (IB-plan)</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Niet-functionele eisen (NFE)</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Kwaliteitsplan</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Product backlog</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Vastgesteld minimal viable product</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Wireframe, mockup, prototype, animatie</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Voorstel realisatiefase</w:t>
            </w:r>
          </w:p>
        </w:tc>
        <w:tc>
          <w:tcPr>
            <w:tcW w:type="auto" w:w="2267"/>
          </w:tcPr>
          <w:p>
            <w:pPr>
              <w:jc w:val="left"/>
            </w:pPr>
            <w:r>
              <w:t>ICTU</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Plan van aanpak realisatiefase</w:t>
            </w:r>
          </w:p>
        </w:tc>
        <w:tc>
          <w:tcPr>
            <w:tcW w:type="auto" w:w="2267"/>
          </w:tcPr>
          <w:p>
            <w:pPr>
              <w:jc w:val="left"/>
            </w:pPr>
            <w:r>
              <w:t>ICTU</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Rapportage t.b.v. go/no-go besluit</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bl>
    <w:p>
      <w:r>
        <w:t>De penvoerder van het product is de uitvoerende partij die verantwoordelijk is voor het opleveren van het product tijdens de voorfase; de inhoudelijk verantwoordelijke bepaalt de uiteindelijke inhoud. Zie de ICTU Kwaliteitsaanpak Softwareontwikkeling voor een nadere toelichting op de documentatie.</w:t>
      </w:r>
    </w:p>
    <w:p>
      <w:r>
        <w:rPr>
          <w:color w:val="000000"/>
          <w:highlight w:val="yellow"/>
        </w:rPr>
        <w:t>{Een aantal documenten is bij voorkeur al beschikbaar bij de start van de voorfase. De andere documentatie is afhankelijk van deze documenten, dus mochten de benodigde documenten niet aanwezig zijn, dan heeft dat impact op de planning. Controleer de bovenstaande tabel en de planning.}</w:t>
      </w:r>
    </w:p>
    <w:p>
      <w:r>
        <w:rPr>
          <w:color w:val="000000"/>
          <w:highlight w:val="yellow"/>
        </w:rPr>
        <w:t xml:space="preserve">{Tip: Gebruik bovenstaand overzicht in de sprints van de voorfase om de voortgang van de te realiseren producten te bewaken. Zie </w:t>
      </w:r>
      <w:hyperlink r:id="rId16">
        <w:r>
          <w:rPr>
            <w:rStyle w:val="Hyperlink"/>
          </w:rPr>
          <w:t>Template plan van aanpak voorfase producten</w:t>
        </w:r>
      </w:hyperlink>
      <w:r>
        <w:rPr>
          <w:color w:val="000000"/>
          <w:highlight w:val="yellow"/>
        </w:rPr>
        <w:t>.}</w:t>
      </w:r>
    </w:p>
    <w:p>
      <w:pPr>
        <w:pStyle w:val="Kop2"/>
      </w:pPr>
      <w:r>
        <w:t>Scope</w:t>
      </w:r>
    </w:p>
    <w:p>
      <w:r>
        <w:t>Binnen de scope van de opdracht vallen de producten, genoemd in de voorgaande tabel, waarvan ICTU de penvoerder is en de organisatie van werksessies ten behoeve van het opstellen van deze producten. Deze producten bevatten ook de beschrijving van de koppelvlakken met de noodzakelijke, aanpalende bronsystemen; buiten de scope van deze opdracht vallen de beschrijvingen van de aanpalende bronsystemen zelf.</w:t>
      </w:r>
    </w:p>
    <w:p>
      <w:pPr>
        <w:pStyle w:val="Kop1"/>
      </w:pPr>
      <w:r>
        <w:t>Werkwijze</w:t>
      </w:r>
    </w:p>
    <w:p>
      <w:r>
        <w:t xml:space="preserve">Het succes van deze voorfase, en van het eventueel later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color w:val="000000"/>
          <w:highlight w:val="yellow"/>
        </w:rPr>
        <w:t>{opdrachtgever}</w:t>
      </w:r>
      <w:r>
        <w:t xml:space="preserve"> gemonitord worden.</w:t>
      </w:r>
    </w:p>
    <w:p>
      <w:r>
        <w:t>Tijdens dit project wordt zoveel mogelijk agile gewerkt volgens de Scrum-aanpak. Dit vertaalt zich concreet in:</w:t>
      </w:r>
    </w:p>
    <w:p>
      <w:pPr>
        <w:pStyle w:val="Lijstopsomteken1"/>
        <w:numPr>
          <w:ilvl w:val="0"/>
        </w:numPr>
      </w:pPr>
      <w:r>
        <w:t xml:space="preserve">Eén Scrumteam met medewerkers van </w:t>
      </w:r>
      <w:r>
        <w:rPr>
          <w:color w:val="000000"/>
          <w:highlight w:val="yellow"/>
        </w:rPr>
        <w:t>{opdrachtgevende organisatie}</w:t>
      </w:r>
      <w:r>
        <w:t xml:space="preserve"> en </w:t>
      </w:r>
      <w:r>
        <w:rPr>
          <w:color w:val="000000"/>
          <w:highlight w:val="yellow"/>
        </w:rPr>
        <w:t>{partijen}</w:t>
      </w:r>
      <w:r>
        <w:t xml:space="preserve"> en ICTU werkt minimaal </w:t>
      </w:r>
      <w:r>
        <w:rPr>
          <w:color w:val="000000"/>
          <w:highlight w:val="yellow"/>
        </w:rPr>
        <w:t>{aantal}</w:t>
      </w:r>
      <w:r>
        <w:t xml:space="preserve"> dagdelen per week aan de gedefinieerde documenten.</w:t>
      </w:r>
    </w:p>
    <w:p>
      <w:pPr>
        <w:pStyle w:val="Lijstopsomteken1"/>
        <w:numPr>
          <w:ilvl w:val="0"/>
        </w:numPr>
      </w:pPr>
      <w:r>
        <w:t xml:space="preserve">Er is een product owner door </w:t>
      </w:r>
      <w:r>
        <w:rPr>
          <w:color w:val="000000"/>
          <w:highlight w:val="yellow"/>
        </w:rPr>
        <w:t>{opdrachtgevende organisatie}</w:t>
      </w:r>
      <w:r>
        <w:t xml:space="preserve"> aangesteld die de uiteindelijke inhoudelijke keuzes maakt.</w:t>
      </w:r>
    </w:p>
    <w:p>
      <w:pPr>
        <w:pStyle w:val="Lijstopsomteken1"/>
        <w:numPr>
          <w:ilvl w:val="0"/>
        </w:numPr>
      </w:pPr>
      <w:r>
        <w:t>Voor elk product is een inhoudelijk verantwoordelijke, een penvoerder/schrijver en één of meer reviewers. Alle partijen werken constructief samen. Reviews zijn gericht op kwaliteitsverbeteringen. Waar nodig schrijven reviewers mee aan de documenten.</w:t>
      </w:r>
    </w:p>
    <w:p>
      <w:pPr>
        <w:pStyle w:val="Lijstopsomteken1"/>
        <w:numPr>
          <w:ilvl w:val="0"/>
        </w:numPr>
      </w:pPr>
      <w:r>
        <w:t xml:space="preserve">Nieuwe tussentijdse versies van documenten worden kortcyclisch opgeleverd, elke </w:t>
      </w:r>
      <w:r>
        <w:rPr>
          <w:color w:val="000000"/>
          <w:highlight w:val="yellow"/>
        </w:rPr>
        <w:t>{termijn}</w:t>
      </w:r>
      <w:r>
        <w:t>.</w:t>
      </w:r>
    </w:p>
    <w:p>
      <w:pPr>
        <w:pStyle w:val="Lijstopsomteken1"/>
        <w:numPr>
          <w:ilvl w:val="0"/>
        </w:numPr>
      </w:pPr>
      <w:r>
        <w:t xml:space="preserve">Alle tussentijdse versies worden gereviewd door </w:t>
      </w:r>
      <w:r>
        <w:rPr>
          <w:color w:val="000000"/>
          <w:highlight w:val="yellow"/>
        </w:rPr>
        <w:t>{reviewers}</w:t>
      </w:r>
      <w:r>
        <w:t xml:space="preserve"> binnen de afgesproken termijn (maximaal </w:t>
      </w:r>
      <w:r>
        <w:rPr>
          <w:color w:val="000000"/>
          <w:highlight w:val="yellow"/>
        </w:rPr>
        <w:t>{aantal}</w:t>
      </w:r>
      <w:r>
        <w:t xml:space="preserve"> werkdagen).</w:t>
      </w:r>
    </w:p>
    <w:p>
      <w:r>
        <w:t xml:space="preserve">De voorfase wordt uitgevoerd in iteraties, "sprints" genaamd, van twee weken. Iedere sprint hanteert hierbij eenzelfde tijdschema, start met een planningssessie en eindigt met een demonstratie van de status van de producten. In de planningssessie wordt onder andere nagegaan in hoeverre een product in de komende sprint kan worden opgepakt; dit hangt af van de voortgang van andere producten waarvan het betreffende product afhankelijk is. Rondom de thema’s </w:t>
      </w:r>
      <w:r>
        <w:rPr>
          <w:color w:val="000000"/>
          <w:highlight w:val="yellow"/>
        </w:rPr>
        <w:t>{functionaliteit, (gebruiks)kwaliteit, architectuur, techniek en veiligheid}</w:t>
      </w:r>
      <w:r>
        <w:t xml:space="preserve"> organiseert ICTU werksessies.</w:t>
      </w:r>
    </w:p>
    <w:p>
      <w:pPr>
        <w:pStyle w:val="Kop2"/>
      </w:pPr>
      <w:r>
        <w:t>Werving</w:t>
      </w:r>
    </w:p>
    <w:p>
      <w:r>
        <w:t xml:space="preserve">Direct na de opdrachtverstrekking start ICTU met de bemensing van het project ten behoeve van de voorfase. </w:t>
      </w:r>
      <w:r>
        <w:rPr>
          <w:color w:val="000000"/>
          <w:highlight w:val="yellow"/>
        </w:rPr>
        <w:t>{Beschrijf de eventueel te werven functies}</w:t>
      </w:r>
    </w:p>
    <w:p>
      <w:pPr>
        <w:pStyle w:val="Kop2"/>
      </w:pPr>
      <w:r>
        <w:t>Kick-off</w:t>
      </w:r>
    </w:p>
    <w:p>
      <w:r>
        <w:t>Voor een goede start wordt er, bij aanvang van de voorfase, een kick-off georganiseerd met alle projectmedewerkers, beoogde stuurgroepleden en de opdrachtgever. Na opdrachtverstrekking zal de projectleider van ICTU de kick-off plannen.</w:t>
      </w:r>
    </w:p>
    <w:p>
      <w:pPr>
        <w:pStyle w:val="Kop2"/>
      </w:pPr>
      <w:r>
        <w:t>Samenwerking</w:t>
      </w:r>
    </w:p>
    <w:p>
      <w:r>
        <w:rPr>
          <w:color w:val="000000"/>
          <w:highlight w:val="yellow"/>
        </w:rPr>
        <w:t>{opdrachtgevende organisatie}</w:t>
      </w:r>
      <w:r>
        <w:t xml:space="preserve"> en </w:t>
      </w:r>
      <w:r>
        <w:rPr>
          <w:color w:val="000000"/>
          <w:highlight w:val="yellow"/>
        </w:rPr>
        <w:t>{partijen}</w:t>
      </w:r>
      <w:r>
        <w:t xml:space="preserve"> en ICTU werken gezamenlijk aan de op te leveren documenten in een Scrumteam. Voor een goed resultaat is het van belang dat er minimaal </w:t>
      </w:r>
      <w:r>
        <w:rPr>
          <w:color w:val="000000"/>
          <w:highlight w:val="yellow"/>
        </w:rPr>
        <w:t>{aantal}</w:t>
      </w:r>
      <w:r>
        <w:t xml:space="preserve"> </w:t>
      </w:r>
      <w:r>
        <w:rPr>
          <w:color w:val="000000"/>
          <w:highlight w:val="yellow"/>
        </w:rPr>
        <w:t>{dagen/dagdelen}</w:t>
      </w:r>
      <w:r>
        <w:t xml:space="preserve"> per week door alle partijen wordt samengewerkt. </w:t>
      </w:r>
      <w:r>
        <w:rPr>
          <w:color w:val="000000"/>
          <w:highlight w:val="yellow"/>
        </w:rPr>
        <w:t>{partij}</w:t>
      </w:r>
      <w:r>
        <w:t xml:space="preserve"> stelt hiervoor </w:t>
      </w:r>
      <w:r>
        <w:rPr>
          <w:color w:val="000000"/>
          <w:highlight w:val="yellow"/>
        </w:rPr>
        <w:t>{fysieke en/of online}</w:t>
      </w:r>
      <w:r>
        <w:t xml:space="preserve"> ruimte en samenwerkhulpmiddelen beschikbaar; projectmedewerkers zorgen zelf voor een laptop. </w:t>
      </w:r>
      <w:r>
        <w:rPr>
          <w:color w:val="000000"/>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vertegenwoordigers van </w:t>
      </w:r>
      <w:r>
        <w:rPr>
          <w:color w:val="000000"/>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color w:val="000000"/>
          <w:highlight w:val="yellow"/>
        </w:rPr>
        <w:t>{vul aan en pas aan, indien nodig}</w:t>
      </w:r>
    </w:p>
    <w:p>
      <w:pPr>
        <w:pStyle w:val="Kop2"/>
      </w:pPr>
      <w:r>
        <w:t>Projectbesturing</w:t>
      </w:r>
    </w:p>
    <w:p>
      <w:r>
        <w:rPr>
          <w:color w:val="000000"/>
          <w:highlight w:val="yellow"/>
        </w:rPr>
        <w:t>{Beschrijf kort de governancestructuur: stuurgroep, rapportage- en escalatielijnen}</w:t>
      </w:r>
    </w:p>
    <w:p>
      <w:pPr>
        <w:pStyle w:val="Kop2"/>
      </w:pPr>
      <w:r>
        <w:t>Oplevering producten</w:t>
      </w:r>
    </w:p>
    <w:p>
      <w:r>
        <w:t xml:space="preserve">De voorfase is op basis van sprints ingericht. Aan het einde van elke sprint zijn alle tot dan toe opgedane inzichten verwerkt in de producten. Na de laatste sprint levert ICTU het geheel op aan </w:t>
      </w:r>
      <w:r>
        <w:rPr>
          <w:color w:val="000000"/>
          <w:highlight w:val="yellow"/>
        </w:rPr>
        <w:t>{opdrachtgevende organisatie}</w:t>
      </w:r>
      <w:r>
        <w:t>.</w:t>
      </w:r>
    </w:p>
    <w:p>
      <w:pPr>
        <w:pStyle w:val="Kop2"/>
      </w:pPr>
      <w:r>
        <w:t>Kwaliteitsbeheersing</w:t>
      </w:r>
    </w:p>
    <w:p>
      <w:r>
        <w:t>Op te leveren producten worden gemaakt door de penvoerder en gereviewd door de andere partijen. De penvoerder verwerkt de resultaten van de review in de producten.</w:t>
      </w:r>
    </w:p>
    <w:p>
      <w:r>
        <w:t>De experts reviewen op zaken zoals:</w:t>
      </w:r>
    </w:p>
    <w:p>
      <w:pPr>
        <w:pStyle w:val="Lijstopsomteken1"/>
        <w:numPr>
          <w:ilvl w:val="0"/>
        </w:numPr>
      </w:pPr>
      <w:r>
        <w:t>heldere structuur en onderlinge samenhang van de documenten;</w:t>
      </w:r>
    </w:p>
    <w:p>
      <w:pPr>
        <w:pStyle w:val="Lijstopsomteken1"/>
        <w:numPr>
          <w:ilvl w:val="0"/>
        </w:numPr>
      </w:pPr>
      <w:r>
        <w:t>“fitness for use” van de producten; Dit betekent dat deze producten geschikt zijn om een Scrumontwikkeltraject te starten en te sturen;</w:t>
      </w:r>
    </w:p>
    <w:p>
      <w:pPr>
        <w:pStyle w:val="Lijstopsomteken1"/>
        <w:numPr>
          <w:ilvl w:val="0"/>
        </w:numPr>
      </w:pPr>
      <w:r>
        <w:t>interne en onderlinge consistentie;</w:t>
      </w:r>
    </w:p>
    <w:p>
      <w:pPr>
        <w:pStyle w:val="Lijstopsomteken1"/>
        <w:numPr>
          <w:ilvl w:val="0"/>
        </w:numPr>
      </w:pPr>
      <w:r>
        <w:t>volledigheid.</w:t>
      </w:r>
    </w:p>
    <w:p>
      <w:pPr>
        <w:pStyle w:val="Kop2"/>
      </w:pPr>
      <w:r>
        <w:t xml:space="preserve">Verwachte inzet door </w:t>
      </w:r>
      <w:r>
        <w:rPr>
          <w:color w:val="000000"/>
          <w:highlight w:val="yellow"/>
        </w:rPr>
        <w:t>{opdrachtgevende organisatie}</w:t>
      </w:r>
      <w:r>
        <w:t xml:space="preserve"> en </w:t>
      </w:r>
      <w:r>
        <w:rPr>
          <w:color w:val="000000"/>
          <w:highlight w:val="yellow"/>
        </w:rPr>
        <w:t>{partijen}</w:t>
      </w:r>
    </w:p>
    <w:p>
      <w:r>
        <w:t xml:space="preserve">Betrokkenheid van vertegenwoordigers van </w:t>
      </w:r>
      <w:r>
        <w:rPr>
          <w:color w:val="000000"/>
          <w:highlight w:val="yellow"/>
        </w:rPr>
        <w:t>{opdrachtgevende organisatie}</w:t>
      </w:r>
      <w:r>
        <w:t xml:space="preserve"> en </w:t>
      </w:r>
      <w:r>
        <w:rPr>
          <w:color w:val="000000"/>
          <w:highlight w:val="yellow"/>
        </w:rPr>
        <w:t>{partijen}</w:t>
      </w:r>
      <w:r>
        <w:t xml:space="preserve"> is randvoorwaardelijk voor de uitvoering van de opdracht. Van de betrokken medewerkers van deze organisatie</w:t>
      </w:r>
      <w:r>
        <w:rPr>
          <w:color w:val="000000"/>
          <w:highlight w:val="yellow"/>
        </w:rPr>
        <w:t>{s}</w:t>
      </w:r>
      <w:r>
        <w:t xml:space="preserve"> wordt het volgende verwacht:</w:t>
      </w:r>
    </w:p>
    <w:p>
      <w:pPr>
        <w:pStyle w:val="Lijstopsomteken1"/>
        <w:numPr>
          <w:ilvl w:val="0"/>
        </w:numPr>
      </w:pPr>
      <w:r>
        <w:t xml:space="preserve">De producten worden opgesteld tijdens verschillende werksessies. Aanwezigheid bij de werksessies (welke zoveel mogelijk tijdens de dagdelen waarop </w:t>
      </w:r>
      <w:r>
        <w:rPr>
          <w:color w:val="000000"/>
          <w:highlight w:val="yellow"/>
        </w:rPr>
        <w:t>{opdrachtgevende organisatie}</w:t>
      </w:r>
      <w:r>
        <w:t xml:space="preserve"> en </w:t>
      </w:r>
      <w:r>
        <w:rPr>
          <w:color w:val="000000"/>
          <w:highlight w:val="yellow"/>
        </w:rPr>
        <w:t>{partijen}</w:t>
      </w:r>
      <w:r>
        <w:t xml:space="preserve"> en ICTU samenwerken worden gepland) en indien gewenst aan vervolgafspraken in dat kader;</w:t>
      </w:r>
    </w:p>
    <w:p>
      <w:pPr>
        <w:pStyle w:val="Lijstopsomteken1"/>
        <w:numPr>
          <w:ilvl w:val="0"/>
        </w:numPr>
      </w:pPr>
      <w:r>
        <w:t>Actief bijdragen aan het schrijven en reviewen van de producten;</w:t>
      </w:r>
    </w:p>
    <w:p>
      <w:pPr>
        <w:pStyle w:val="Lijstopsomteken1"/>
        <w:numPr>
          <w:ilvl w:val="0"/>
        </w:numPr>
      </w:pPr>
      <w:r>
        <w:t>Buiten de workshops uitzoeken van onduidelijkheden en binnen de eigen organisatie(s) op zoek gaan naar antwoorden.</w:t>
      </w:r>
    </w:p>
    <w:p>
      <w:r>
        <w:t xml:space="preserve">Onderstaand is de verwachte inzet per rol van </w:t>
      </w:r>
      <w:r>
        <w:rPr>
          <w:color w:val="000000"/>
          <w:highlight w:val="yellow"/>
        </w:rPr>
        <w:t>{opdrachtgevende organisatie}</w:t>
      </w:r>
      <w:r>
        <w:t xml:space="preserve"> en </w:t>
      </w:r>
      <w:r>
        <w:rPr>
          <w:color w:val="000000"/>
          <w:highlight w:val="yellow"/>
        </w:rPr>
        <w:t>{partijen}</w:t>
      </w:r>
      <w:r>
        <w:t xml:space="preserve"> voor de uitvoering van dit plan van aanpak (één persoon kan eventueel meer dan één rol vervullen):</w:t>
      </w:r>
    </w:p>
    <w:p>
      <w:r>
        <w:rPr>
          <w:color w:val="000000"/>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Expert informatiebeveiliging</w:t>
            </w:r>
          </w:p>
        </w:tc>
        <w:tc>
          <w:tcPr>
            <w:tcW w:type="auto" w:w="3023"/>
          </w:tcPr>
          <w:p>
            <w:pPr>
              <w:jc w:val="left"/>
            </w:pPr>
            <w:r>
              <w:rPr>
                <w:color w:val="000000"/>
                <w:highlight w:val="yellow"/>
              </w:rPr>
              <w:t>{aantal}</w:t>
            </w:r>
            <w:r>
              <w:t xml:space="preserve"> dagen</w:t>
            </w:r>
          </w:p>
        </w:tc>
        <w:tc>
          <w:tcPr>
            <w:tcW w:type="auto" w:w="3023"/>
          </w:tcPr>
          <w:p>
            <w:pPr>
              <w:jc w:val="left"/>
            </w:pPr>
            <w:r>
              <w:t xml:space="preserve">Uitvoeren TVA, opstellen BIA en IB-plan, reviewen </w:t>
            </w:r>
            <w:r>
              <w:rPr>
                <w:color w:val="000000"/>
                <w:highlight w:val="yellow"/>
              </w:rPr>
              <w:t>{documenten}</w:t>
            </w:r>
          </w:p>
        </w:tc>
      </w:tr>
      <w:tr>
        <w:tc>
          <w:tcPr>
            <w:tcW w:type="auto" w:w="3023"/>
          </w:tcPr>
          <w:p>
            <w:pPr>
              <w:jc w:val="left"/>
            </w:pPr>
            <w:r>
              <w:t>Privacy-expert</w:t>
            </w:r>
          </w:p>
        </w:tc>
        <w:tc>
          <w:tcPr>
            <w:tcW w:type="auto" w:w="3023"/>
          </w:tcPr>
          <w:p>
            <w:pPr>
              <w:jc w:val="left"/>
            </w:pPr>
            <w:r>
              <w:rPr>
                <w:color w:val="000000"/>
                <w:highlight w:val="yellow"/>
              </w:rPr>
              <w:t>{aantal}</w:t>
            </w:r>
            <w:r>
              <w:t xml:space="preserve"> dagen</w:t>
            </w:r>
          </w:p>
        </w:tc>
        <w:tc>
          <w:tcPr>
            <w:tcW w:type="auto" w:w="3023"/>
          </w:tcPr>
          <w:p>
            <w:pPr>
              <w:jc w:val="left"/>
            </w:pPr>
            <w:r>
              <w:t xml:space="preserve">Opstellen DPIA, reviewen </w:t>
            </w:r>
            <w:r>
              <w:rPr>
                <w:color w:val="000000"/>
                <w:highlight w:val="yellow"/>
              </w:rPr>
              <w:t>{documenten}</w:t>
            </w:r>
          </w:p>
        </w:tc>
      </w:tr>
      <w:tr>
        <w:tc>
          <w:tcPr>
            <w:tcW w:type="auto" w:w="3023"/>
          </w:tcPr>
          <w:p>
            <w:pPr>
              <w:jc w:val="left"/>
            </w:pPr>
            <w:r>
              <w:t>Infrastructuurarchitect</w:t>
            </w:r>
          </w:p>
        </w:tc>
        <w:tc>
          <w:tcPr>
            <w:tcW w:type="auto" w:w="3023"/>
          </w:tcPr>
          <w:p>
            <w:pPr>
              <w:jc w:val="left"/>
            </w:pPr>
            <w:r>
              <w:rPr>
                <w:color w:val="000000"/>
                <w:highlight w:val="yellow"/>
              </w:rPr>
              <w:t>{aantal}</w:t>
            </w:r>
            <w:r>
              <w:t xml:space="preserve"> dagen</w:t>
            </w:r>
          </w:p>
        </w:tc>
        <w:tc>
          <w:tcPr>
            <w:tcW w:type="auto" w:w="3023"/>
          </w:tcPr>
          <w:p>
            <w:pPr>
              <w:jc w:val="left"/>
            </w:pPr>
            <w:r>
              <w:t>Opstellen infrastructuurarchitectuur, reviewen SAD, NFE en IB-plan</w:t>
            </w:r>
          </w:p>
        </w:tc>
      </w:tr>
      <w:tr>
        <w:tc>
          <w:tcPr>
            <w:tcW w:type="auto" w:w="3023"/>
          </w:tcPr>
          <w:p>
            <w:pPr>
              <w:jc w:val="left"/>
            </w:pPr>
            <w:r>
              <w:t>Architect</w:t>
            </w:r>
          </w:p>
        </w:tc>
        <w:tc>
          <w:tcPr>
            <w:tcW w:type="auto" w:w="3023"/>
          </w:tcPr>
          <w:p>
            <w:pPr>
              <w:jc w:val="left"/>
            </w:pPr>
            <w:r>
              <w:rPr>
                <w:color w:val="000000"/>
                <w:highlight w:val="yellow"/>
              </w:rPr>
              <w:t>{aantal}</w:t>
            </w:r>
            <w:r>
              <w:t xml:space="preserve"> dagen</w:t>
            </w:r>
          </w:p>
        </w:tc>
        <w:tc>
          <w:tcPr>
            <w:tcW w:type="auto" w:w="3023"/>
          </w:tcPr>
          <w:p>
            <w:pPr>
              <w:jc w:val="left"/>
            </w:pPr>
            <w:r>
              <w:t>Richting geven aan architectuur, opstellen PSA, reviewen SAD, NFE en infrastructuurarchitectuur</w:t>
            </w:r>
          </w:p>
        </w:tc>
      </w:tr>
      <w:tr>
        <w:tc>
          <w:tcPr>
            <w:tcW w:type="auto" w:w="3023"/>
          </w:tcPr>
          <w:p>
            <w:pPr>
              <w:jc w:val="left"/>
            </w:pPr>
            <w:r>
              <w:t>Testmanager</w:t>
            </w:r>
          </w:p>
        </w:tc>
        <w:tc>
          <w:tcPr>
            <w:tcW w:type="auto" w:w="3023"/>
          </w:tcPr>
          <w:p>
            <w:pPr>
              <w:jc w:val="left"/>
            </w:pPr>
            <w:r>
              <w:rPr>
                <w:color w:val="000000"/>
                <w:highlight w:val="yellow"/>
              </w:rPr>
              <w:t>{aantal}</w:t>
            </w:r>
            <w:r>
              <w:t xml:space="preserve"> dagen</w:t>
            </w:r>
          </w:p>
        </w:tc>
        <w:tc>
          <w:tcPr>
            <w:tcW w:type="auto" w:w="3023"/>
          </w:tcPr>
          <w:p>
            <w:pPr>
              <w:jc w:val="left"/>
            </w:pPr>
            <w:r>
              <w:t>Uitvoeren PRA, opstellen mastertestplan, reviewen kwaliteitsplan, detailtestplan softwarerealisatie</w:t>
            </w:r>
          </w:p>
        </w:tc>
      </w:tr>
      <w:tr>
        <w:tc>
          <w:tcPr>
            <w:tcW w:type="auto" w:w="3023"/>
          </w:tcPr>
          <w:p>
            <w:pPr>
              <w:jc w:val="left"/>
            </w:pPr>
            <w:r>
              <w:t>Diverse inhoudelijk deskundigen</w:t>
            </w:r>
          </w:p>
        </w:tc>
        <w:tc>
          <w:tcPr>
            <w:tcW w:type="auto" w:w="3023"/>
          </w:tcPr>
          <w:p>
            <w:pPr>
              <w:jc w:val="left"/>
            </w:pPr>
            <w:r>
              <w:rPr>
                <w:color w:val="000000"/>
                <w:highlight w:val="yellow"/>
              </w:rPr>
              <w:t>{aantal}</w:t>
            </w:r>
            <w:r>
              <w:t xml:space="preserve"> dagen</w:t>
            </w:r>
          </w:p>
        </w:tc>
        <w:tc>
          <w:tcPr>
            <w:tcW w:type="auto" w:w="3023"/>
          </w:tcPr>
          <w:p>
            <w:pPr>
              <w:jc w:val="left"/>
            </w:pPr>
            <w:r>
              <w:t>Eventuele betrokkenheid van (eind)gebruikers en belanghebbenden</w:t>
            </w:r>
          </w:p>
        </w:tc>
      </w:tr>
      <w:tr>
        <w:tc>
          <w:tcPr>
            <w:tcW w:type="auto" w:w="3023"/>
          </w:tcPr>
          <w:p>
            <w:pPr>
              <w:jc w:val="left"/>
            </w:pPr>
            <w:r>
              <w:t>Product owner</w:t>
            </w:r>
          </w:p>
        </w:tc>
        <w:tc>
          <w:tcPr>
            <w:tcW w:type="auto" w:w="3023"/>
          </w:tcPr>
          <w:p>
            <w:pPr>
              <w:jc w:val="left"/>
            </w:pPr>
            <w:r>
              <w:rPr>
                <w:color w:val="000000"/>
                <w:highlight w:val="yellow"/>
              </w:rPr>
              <w:t>{aantal}</w:t>
            </w:r>
            <w:r>
              <w:t xml:space="preserve"> dagen</w:t>
            </w:r>
          </w:p>
        </w:tc>
        <w:tc>
          <w:tcPr>
            <w:tcW w:type="auto" w:w="3023"/>
          </w:tcPr>
          <w:p>
            <w:pPr>
              <w:jc w:val="left"/>
            </w:pPr>
            <w:r>
              <w:t>Inhoudelijk sturing / prioritering, opstellen product backlog, NFE, minimal viable product, reviewen GFO en prototype</w:t>
            </w:r>
          </w:p>
        </w:tc>
      </w:tr>
      <w:tr>
        <w:tc>
          <w:tcPr>
            <w:tcW w:type="auto" w:w="3023"/>
          </w:tcPr>
          <w:p>
            <w:pPr>
              <w:jc w:val="left"/>
            </w:pPr>
            <w:r>
              <w:t>Projectleider (</w:t>
            </w:r>
            <w:r>
              <w:rPr>
                <w:color w:val="000000"/>
                <w:highlight w:val="yellow"/>
              </w:rPr>
              <w:t>{opdrachtgevende organisatie}</w:t>
            </w:r>
            <w:r>
              <w:t>)</w:t>
            </w:r>
          </w:p>
        </w:tc>
        <w:tc>
          <w:tcPr>
            <w:tcW w:type="auto" w:w="3023"/>
          </w:tcPr>
          <w:p>
            <w:pPr>
              <w:jc w:val="left"/>
            </w:pPr>
            <w:r>
              <w:rPr>
                <w:color w:val="000000"/>
                <w:highlight w:val="yellow"/>
              </w:rPr>
              <w:t>{aantal}</w:t>
            </w:r>
            <w:r>
              <w:t xml:space="preserve"> dagen</w:t>
            </w:r>
          </w:p>
        </w:tc>
        <w:tc>
          <w:tcPr>
            <w:tcW w:type="auto" w:w="3023"/>
          </w:tcPr>
          <w:p>
            <w:pPr>
              <w:jc w:val="left"/>
            </w:pPr>
            <w:r>
              <w:t>Bespreken voortgang en eventuele exceptions met de projectleiders van opdrachtnemer, deelname aan kick-off en eventuele workshops</w:t>
            </w:r>
          </w:p>
        </w:tc>
      </w:tr>
      <w:tr>
        <w:tc>
          <w:tcPr>
            <w:tcW w:type="auto" w:w="3023"/>
          </w:tcPr>
          <w:p>
            <w:pPr>
              <w:jc w:val="left"/>
            </w:pPr>
            <w:r>
              <w:t>Projectleider (</w:t>
            </w:r>
            <w:r>
              <w:rPr>
                <w:color w:val="000000"/>
                <w:highlight w:val="yellow"/>
              </w:rPr>
              <w:t>{beheerorganisatie}</w:t>
            </w:r>
            <w:r>
              <w:t>)</w:t>
            </w:r>
          </w:p>
        </w:tc>
        <w:tc>
          <w:tcPr>
            <w:tcW w:type="auto" w:w="3023"/>
          </w:tcPr>
          <w:p>
            <w:pPr>
              <w:jc w:val="left"/>
            </w:pPr>
            <w:r>
              <w:rPr>
                <w:color w:val="000000"/>
                <w:highlight w:val="yellow"/>
              </w:rPr>
              <w:t>{aantal}</w:t>
            </w:r>
            <w:r>
              <w:t xml:space="preserve"> dagen</w:t>
            </w:r>
          </w:p>
        </w:tc>
        <w:tc>
          <w:tcPr>
            <w:tcW w:type="auto" w:w="3023"/>
          </w:tcPr>
          <w:p>
            <w:pPr>
              <w:jc w:val="left"/>
            </w:pPr>
            <w:r>
              <w:t>Opstellen plan van aanpak realisatiefase voor het inrichten van technisch en operationeel beheer, deelname aan kick-off en eventuele workshops</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Projectafsluiting</w:t>
      </w:r>
    </w:p>
    <w:p>
      <w:r>
        <w:t>Omdat ICTU tijdens het project de documenten regelmatig oplevert is er geen speciale eindoplevering nodig. ICTU archiveert de documenten op Sharepoint met een bewaartermijn van vijf jaar.</w:t>
      </w:r>
    </w:p>
    <w:p>
      <w:pPr>
        <w:pStyle w:val="Kop1"/>
      </w:pPr>
      <w:r>
        <w:t>Planning</w:t>
      </w:r>
    </w:p>
    <w:p>
      <w:r>
        <w:rPr>
          <w:color w:val="000000"/>
          <w:highlight w:val="yellow"/>
        </w:rPr>
        <w:t>{Verwijs naar dit hoofdstuk in hoofdstuk 5 van het voorstel inclusief POK}</w:t>
      </w:r>
    </w:p>
    <w:p>
      <w:r>
        <w:t xml:space="preserve">De start van het project vindt uiterlijk </w:t>
      </w:r>
      <w:r>
        <w:rPr>
          <w:color w:val="000000"/>
          <w:highlight w:val="yellow"/>
        </w:rPr>
        <w:t>{aantal}</w:t>
      </w:r>
      <w:r>
        <w:t xml:space="preserve"> weken na ondertekening van het eveneens verstuurde voorstel inclusief projectovereenkomst plaats. In deze periode bemensen zowel ICTU als </w:t>
      </w:r>
      <w:r>
        <w:rPr>
          <w:color w:val="000000"/>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deze voorfase is </w:t>
      </w:r>
      <w:r>
        <w:rPr>
          <w:color w:val="000000"/>
          <w:highlight w:val="yellow"/>
        </w:rPr>
        <w:t>{aantal}</w:t>
      </w:r>
      <w:r>
        <w:t xml:space="preserve"> weken.</w:t>
      </w:r>
    </w:p>
    <w:p>
      <w:r>
        <w:t>Met een eventuele vakantieperiode is nog geen rekening gehouden, dit zal direct na de “go” op het projectvoorstel afgestemd worden. Mogelijk wordt hierdoor de doorlooptijd langer. Op dat moment wordt ook de verdere invulling van de planning en de sprints afgestemd.</w:t>
      </w:r>
    </w:p>
    <w:p>
      <w:r>
        <w:rPr>
          <w:color w:val="000000"/>
          <w:highlight w:val="yellow"/>
        </w:rPr>
        <w:t>{Hieronder een voorbeeld van een planning}</w:t>
      </w:r>
    </w:p>
    <w:tbl>
      <w:tblPr>
        <w:tblStyle w:val="Tabelraster1"/>
        <w:tblW w:type="pct" w:w="100%"/>
        <w:tblLook w:firstColumn="1" w:firstRow="1" w:lastColumn="0" w:lastRow="0" w:noHBand="0" w:noVBand="1" w:val="04A0"/>
      </w:tblPr>
      <w:tblGrid>
        <w:gridCol w:w="825"/>
        <w:gridCol w:w="825"/>
        <w:gridCol w:w="825"/>
        <w:gridCol w:w="825"/>
        <w:gridCol w:w="825"/>
        <w:gridCol w:w="825"/>
        <w:gridCol w:w="825"/>
        <w:gridCol w:w="825"/>
        <w:gridCol w:w="825"/>
        <w:gridCol w:w="825"/>
        <w:gridCol w:w="825"/>
      </w:tblGrid>
      <w:tr>
        <w:tc>
          <w:tcPr>
            <w:tcW w:type="auto" w:w="825"/>
          </w:tcPr>
          <w:p>
            <w:pPr>
              <w:jc w:val="left"/>
            </w:pPr>
            <w:r>
              <w:t>Onderdeel/week</w:t>
            </w:r>
          </w:p>
        </w:tc>
        <w:tc>
          <w:tcPr>
            <w:tcW w:type="auto" w:w="825"/>
          </w:tcPr>
          <w:p>
            <w:pPr>
              <w:jc w:val="left"/>
            </w:pPr>
            <w:r>
              <w:t>1</w:t>
            </w:r>
          </w:p>
        </w:tc>
        <w:tc>
          <w:tcPr>
            <w:tcW w:type="auto" w:w="825"/>
          </w:tcPr>
          <w:p>
            <w:pPr>
              <w:jc w:val="left"/>
            </w:pPr>
            <w:r>
              <w:t>2</w:t>
            </w:r>
          </w:p>
        </w:tc>
        <w:tc>
          <w:tcPr>
            <w:tcW w:type="auto" w:w="825"/>
          </w:tcPr>
          <w:p>
            <w:pPr>
              <w:jc w:val="left"/>
            </w:pPr>
            <w:r>
              <w:t>3</w:t>
            </w:r>
          </w:p>
        </w:tc>
        <w:tc>
          <w:tcPr>
            <w:tcW w:type="auto" w:w="825"/>
          </w:tcPr>
          <w:p>
            <w:pPr>
              <w:jc w:val="left"/>
            </w:pPr>
            <w:r>
              <w:t>4</w:t>
            </w:r>
          </w:p>
        </w:tc>
        <w:tc>
          <w:tcPr>
            <w:tcW w:type="auto" w:w="825"/>
          </w:tcPr>
          <w:p>
            <w:pPr>
              <w:jc w:val="left"/>
            </w:pPr>
            <w:r>
              <w:t>5</w:t>
            </w:r>
          </w:p>
        </w:tc>
        <w:tc>
          <w:tcPr>
            <w:tcW w:type="auto" w:w="825"/>
          </w:tcPr>
          <w:p>
            <w:pPr>
              <w:jc w:val="left"/>
            </w:pPr>
            <w:r>
              <w:t>6</w:t>
            </w:r>
          </w:p>
        </w:tc>
        <w:tc>
          <w:tcPr>
            <w:tcW w:type="auto" w:w="825"/>
          </w:tcPr>
          <w:p>
            <w:pPr>
              <w:jc w:val="left"/>
            </w:pPr>
            <w:r>
              <w:t>7</w:t>
            </w:r>
          </w:p>
        </w:tc>
        <w:tc>
          <w:tcPr>
            <w:tcW w:type="auto" w:w="825"/>
          </w:tcPr>
          <w:p>
            <w:pPr>
              <w:jc w:val="left"/>
            </w:pPr>
            <w:r>
              <w:t>8</w:t>
            </w:r>
          </w:p>
        </w:tc>
        <w:tc>
          <w:tcPr>
            <w:tcW w:type="auto" w:w="825"/>
          </w:tcPr>
          <w:p>
            <w:pPr>
              <w:jc w:val="left"/>
            </w:pPr>
            <w:r>
              <w:t>9</w:t>
            </w:r>
          </w:p>
        </w:tc>
        <w:tc>
          <w:tcPr>
            <w:tcW w:type="auto" w:w="825"/>
          </w:tcPr>
          <w:p>
            <w:pPr>
              <w:jc w:val="left"/>
            </w:pPr>
            <w:r>
              <w:t>10</w:t>
            </w:r>
          </w:p>
        </w:tc>
      </w:tr>
      <w:tr>
        <w:tc>
          <w:tcPr>
            <w:tcW w:type="auto" w:w="825"/>
          </w:tcPr>
          <w:p>
            <w:pPr>
              <w:jc w:val="left"/>
            </w:pPr>
            <w:r>
              <w:t>Bemensen project</w:t>
            </w:r>
          </w:p>
        </w:tc>
        <w:tc>
          <w:tcPr>
            <w:tcW w:type="auto" w:w="825"/>
          </w:tcPr>
          <w:p>
            <w:pPr>
              <w:jc w:val="left"/>
            </w:pPr>
            <w:r>
              <w:t>X</w:t>
            </w: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Voorbereiden en plannen kick-off</w:t>
            </w: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Kick-off</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1</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2</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3</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r>
      <w:tr>
        <w:tc>
          <w:tcPr>
            <w:tcW w:type="auto" w:w="825"/>
          </w:tcPr>
          <w:p>
            <w:pPr>
              <w:jc w:val="left"/>
            </w:pPr>
            <w:r>
              <w:t>Afronden en afsluiten voorfase</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r>
    </w:tbl>
    <w:p>
      <w:r>
        <w:t>NB: Onderdeel van het afronden en afsluiten van de voorfase is een GO/NO GO voor de realisatiefase op basis van de resultaten uit de voorfase.</w:t>
      </w:r>
    </w:p>
    <w:p>
      <w:pPr>
        <w:pStyle w:val="Kop1"/>
      </w:pPr>
      <w:r>
        <w:t>Randvoorwaarden</w:t>
      </w:r>
    </w:p>
    <w:p>
      <w:r>
        <w:t>Voor de uitvoering van de voorfase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color w:val="000000"/>
                <w:highlight w:val="yellow"/>
              </w:rPr>
              <w:t>{opdrachtgevende organisatie}</w:t>
            </w:r>
            <w:r>
              <w:t xml:space="preserve"> en </w:t>
            </w:r>
            <w:r>
              <w:rPr>
                <w:color w:val="000000"/>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inhoud van de producten.</w:t>
            </w:r>
          </w:p>
        </w:tc>
      </w:tr>
      <w:tr>
        <w:tc>
          <w:tcPr>
            <w:tcW w:type="auto" w:w="4535"/>
          </w:tcPr>
          <w:p>
            <w:pPr>
              <w:jc w:val="left"/>
            </w:pPr>
            <w:r>
              <w:t>R03</w:t>
            </w:r>
          </w:p>
        </w:tc>
        <w:tc>
          <w:tcPr>
            <w:tcW w:type="auto" w:w="4535"/>
          </w:tcPr>
          <w:p>
            <w:pPr>
              <w:jc w:val="left"/>
            </w:pPr>
            <w:r>
              <w:t xml:space="preserve">Er is een afgestemde en afgesproken werkwijze tussen </w:t>
            </w:r>
            <w:r>
              <w:rPr>
                <w:color w:val="000000"/>
                <w:highlight w:val="yellow"/>
              </w:rPr>
              <w:t>{opdrachtgevende organisatie}</w:t>
            </w:r>
            <w:r>
              <w:t xml:space="preserve">, </w:t>
            </w:r>
            <w:r>
              <w:rPr>
                <w:color w:val="000000"/>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producten </w:t>
            </w:r>
            <w:r>
              <w:rPr>
                <w:color w:val="000000"/>
                <w:highlight w:val="yellow"/>
              </w:rPr>
              <w:t>{producten}</w:t>
            </w:r>
            <w:r>
              <w:t xml:space="preserve"> zijn beschikbaar voor aanvang van de voorfase.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{randvoorwaarde}</w:t>
            </w:r>
          </w:p>
        </w:tc>
      </w:tr>
    </w:tbl>
    <w:p>
      <w:pPr>
        <w:pStyle w:val="Kop1"/>
      </w:pPr>
      <w:r>
        <w:t>Projectrisico’s</w:t>
      </w:r>
    </w:p>
    <w:p>
      <w:r>
        <w:t>De onderstaande projectrisico’s, die het succes van de voorfase kunnen belemmeren, zijn reeds onderkend; daarbij zijn per risico de maatregelen benoemd.</w:t>
      </w:r>
    </w:p>
    <w:p>
      <w:r>
        <w:rPr>
          <w:color w:val="000000"/>
          <w:highlight w:val="yellow"/>
        </w:rPr>
        <w:t>{ICTU/opdrachtgever}</w:t>
      </w:r>
      <w:r>
        <w:t xml:space="preserve"> houdt projectrisico's bij in het risicolog. In het risicolog wordt het risico beschreven, een risico-eigenaar benoemd, het risicoprofiel bepaald en de te treffen maatregelen vastgesteld. Tijdens de realisatiefase bewaakt </w:t>
      </w:r>
      <w:r>
        <w:rPr>
          <w:color w:val="000000"/>
          <w:highlight w:val="yellow"/>
        </w:rPr>
        <w:t>{ICTU/opdrachtgever}</w:t>
      </w:r>
      <w:r>
        <w:t xml:space="preserve"> het risicolog en actualiseert dit wanneer nodig. </w:t>
      </w:r>
      <w:r>
        <w:rPr>
          <w:color w:val="000000"/>
          <w:highlight w:val="yellow"/>
        </w:rPr>
        <w:t>{Het risicolog is onderdeel van de maandrapportage van ICTU.}</w:t>
      </w:r>
    </w:p>
    <w:p>
      <w:r>
        <w:rPr>
          <w:color w:val="000000"/>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Betrokken partijen communiceren onvoldoende over het beoogde projectresultaat, waardoor verwachtingen uit elkaar lopen. Gevolg is dat partijen geen overeenstemming bereiken over de scope van de realisatiefase.</w:t>
            </w:r>
          </w:p>
        </w:tc>
        <w:tc>
          <w:tcPr>
            <w:tcW w:type="auto" w:w="4535"/>
          </w:tcPr>
          <w:p>
            <w:pPr>
              <w:jc w:val="left"/>
            </w:pPr>
            <w:r>
              <w:t>Wekelijks projectoverleg, samenwerken door middel van werkgroepen en fysiek bij elkaar komen, kick-off met alle betrokkenen waarbij de opdrachtgever het doel van de voorfase uiteenzet.</w:t>
            </w:r>
          </w:p>
        </w:tc>
      </w:tr>
      <w:tr>
        <w:tc>
          <w:tcPr>
            <w:tcW w:type="auto" w:w="4535"/>
          </w:tcPr>
          <w:p>
            <w:pPr>
              <w:jc w:val="left"/>
            </w:pPr>
            <w:r>
              <w:t>PSA is niet gereed bij de start van de voorfase. Hierdoor is de scope niet helder en kan de voorfase niet tijdig worden afgerond.</w:t>
            </w:r>
          </w:p>
        </w:tc>
        <w:tc>
          <w:tcPr>
            <w:tcW w:type="auto" w:w="4535"/>
          </w:tcPr>
          <w:p>
            <w:pPr>
              <w:jc w:val="left"/>
            </w:pPr>
            <w:r>
              <w:t>PSA laten goedkeuren door architectuurboard voor de start van de voorfase.</w:t>
            </w:r>
          </w:p>
        </w:tc>
      </w:tr>
      <w:tr>
        <w:tc>
          <w:tcPr>
            <w:tcW w:type="auto" w:w="4535"/>
          </w:tcPr>
          <w:p>
            <w:pPr>
              <w:jc w:val="left"/>
            </w:pPr>
            <w:r>
              <w:t>Diverse vertegenwoordigers van de opdrachtgever zijn niet beschikbaar vanwege een voorgenomen reorganisatie. Inhoudelijke vragen van het voorfaseteam worden hierdoor niet tijdig beantwoord.</w:t>
            </w:r>
          </w:p>
        </w:tc>
        <w:tc>
          <w:tcPr>
            <w:tcW w:type="auto" w:w="4535"/>
          </w:tcPr>
          <w:p>
            <w:pPr>
              <w:jc w:val="left"/>
            </w:pPr>
            <w:r>
              <w:t>Voor de voorfase controleren of alle genoemde vertegenwoordigers volgens plannning beschikbaar zijn. Achtervang organiseren.</w:t>
            </w:r>
          </w:p>
        </w:tc>
      </w:tr>
      <w:tr>
        <w:tc>
          <w:tcPr>
            <w:tcW w:type="auto" w:w="4535"/>
          </w:tcPr>
          <w:p>
            <w:pPr>
              <w:jc w:val="left"/>
            </w:pPr>
            <w:r>
              <w:rPr>
                <w:color w:val="000000"/>
                <w:highlight w:val="yellow"/>
              </w:rPr>
              <w:t>{risico}</w:t>
            </w:r>
          </w:p>
        </w:tc>
        <w:tc>
          <w:tcPr>
            <w:tcW w:type="auto" w:w="4535"/>
          </w:tcPr>
          <w:p>
            <w:pPr>
              <w:jc w:val="left"/>
            </w:pPr>
            <w:r>
              <w:rPr>
                <w:color w:val="000000"/>
                <w:highlight w:val="yellow"/>
              </w:rPr>
              <w:t>{maatregel}</w:t>
            </w:r>
          </w:p>
        </w:tc>
      </w:tr>
    </w:tbl>
    <w:p>
      <w:pPr>
        <w:pStyle w:val="Kop1"/>
      </w:pPr>
      <w:r>
        <w:t>Verwachte inzet ICTU</w:t>
      </w:r>
    </w:p>
    <w:p>
      <w:r>
        <w:t>Onderstaand is de verwachte inzet per rol van ICTU voor de uitvoering van dit plan van aanpak:</w:t>
      </w:r>
    </w:p>
    <w:p>
      <w:r>
        <w:rPr>
          <w:color w:val="000000"/>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color w:val="000000"/>
                <w:highlight w:val="yellow"/>
              </w:rPr>
              <w:t>{x}</w:t>
            </w:r>
            <w:r>
              <w:t xml:space="preserve"> uur</w:t>
            </w:r>
          </w:p>
        </w:tc>
        <w:tc>
          <w:tcPr>
            <w:tcW w:type="auto" w:w="3023"/>
          </w:tcPr>
          <w:p>
            <w:pPr>
              <w:jc w:val="left"/>
            </w:pPr>
            <w:r>
              <w:t xml:space="preserve">Penvoerder SAD, reviewen </w:t>
            </w:r>
            <w:r>
              <w:rPr>
                <w:color w:val="000000"/>
                <w:highlight w:val="yellow"/>
              </w:rPr>
              <w:t>{documenten}</w:t>
            </w:r>
          </w:p>
        </w:tc>
      </w:tr>
      <w:tr>
        <w:tc>
          <w:tcPr>
            <w:tcW w:type="auto" w:w="3023"/>
          </w:tcPr>
          <w:p>
            <w:pPr>
              <w:jc w:val="left"/>
            </w:pPr>
            <w:r>
              <w:t>Functioneel ontwerper</w:t>
            </w:r>
          </w:p>
        </w:tc>
        <w:tc>
          <w:tcPr>
            <w:tcW w:type="auto" w:w="3023"/>
          </w:tcPr>
          <w:p>
            <w:pPr>
              <w:jc w:val="left"/>
            </w:pPr>
            <w:r>
              <w:rPr>
                <w:color w:val="000000"/>
                <w:highlight w:val="yellow"/>
              </w:rPr>
              <w:t>{x}</w:t>
            </w:r>
            <w:r>
              <w:t xml:space="preserve"> uur</w:t>
            </w:r>
          </w:p>
        </w:tc>
        <w:tc>
          <w:tcPr>
            <w:tcW w:type="auto" w:w="3023"/>
          </w:tcPr>
          <w:p>
            <w:pPr>
              <w:jc w:val="left"/>
            </w:pPr>
            <w:r>
              <w:t xml:space="preserve">Penvoerder GFO, reviewen </w:t>
            </w:r>
            <w:r>
              <w:rPr>
                <w:color w:val="000000"/>
                <w:highlight w:val="yellow"/>
              </w:rPr>
              <w:t>{documenten}</w:t>
            </w:r>
          </w:p>
        </w:tc>
      </w:tr>
      <w:tr>
        <w:tc>
          <w:tcPr>
            <w:tcW w:type="auto" w:w="3023"/>
          </w:tcPr>
          <w:p>
            <w:pPr>
              <w:jc w:val="left"/>
            </w:pPr>
            <w:r>
              <w:t>Database administrator</w:t>
            </w:r>
          </w:p>
        </w:tc>
        <w:tc>
          <w:tcPr>
            <w:tcW w:type="auto" w:w="3023"/>
          </w:tcPr>
          <w:p>
            <w:pPr>
              <w:jc w:val="left"/>
            </w:pPr>
            <w:r>
              <w:rPr>
                <w:color w:val="000000"/>
                <w:highlight w:val="yellow"/>
              </w:rPr>
              <w:t>{x}</w:t>
            </w:r>
            <w:r>
              <w:t xml:space="preserve"> uur</w:t>
            </w:r>
          </w:p>
        </w:tc>
        <w:tc>
          <w:tcPr>
            <w:tcW w:type="auto" w:w="3023"/>
          </w:tcPr>
          <w:p>
            <w:pPr>
              <w:jc w:val="left"/>
            </w:pPr>
            <w:r>
              <w:t xml:space="preserve">Opstellen logisch datamodel en fysiek database ontwerp, reviewen </w:t>
            </w:r>
            <w:r>
              <w:rPr>
                <w:color w:val="000000"/>
                <w:highlight w:val="yellow"/>
              </w:rPr>
              <w:t>{documenten}</w:t>
            </w:r>
          </w:p>
        </w:tc>
      </w:tr>
      <w:tr>
        <w:tc>
          <w:tcPr>
            <w:tcW w:type="auto" w:w="3023"/>
          </w:tcPr>
          <w:p>
            <w:pPr>
              <w:jc w:val="left"/>
            </w:pPr>
            <w:r>
              <w:t>UX-designer</w:t>
            </w:r>
          </w:p>
        </w:tc>
        <w:tc>
          <w:tcPr>
            <w:tcW w:type="auto" w:w="3023"/>
          </w:tcPr>
          <w:p>
            <w:pPr>
              <w:jc w:val="left"/>
            </w:pPr>
            <w:r>
              <w:rPr>
                <w:color w:val="000000"/>
                <w:highlight w:val="yellow"/>
              </w:rPr>
              <w:t>{x}</w:t>
            </w:r>
            <w:r>
              <w:t xml:space="preserve"> uur</w:t>
            </w:r>
          </w:p>
        </w:tc>
        <w:tc>
          <w:tcPr>
            <w:tcW w:type="auto" w:w="3023"/>
          </w:tcPr>
          <w:p>
            <w:pPr>
              <w:jc w:val="left"/>
            </w:pPr>
            <w:r>
              <w:t xml:space="preserve">Gebruikersonderzoek, opstellen UX-richtlijnen, maken prototype </w:t>
            </w:r>
            <w:r>
              <w:rPr>
                <w:color w:val="000000"/>
                <w:highlight w:val="yellow"/>
              </w:rPr>
              <w:t>{of wireframe/mockup/animatie}</w:t>
            </w:r>
            <w:r>
              <w:t xml:space="preserve">, reviewen </w:t>
            </w:r>
            <w:r>
              <w:rPr>
                <w:color w:val="000000"/>
                <w:highlight w:val="yellow"/>
              </w:rPr>
              <w:t>{documenten}</w:t>
            </w:r>
          </w:p>
        </w:tc>
      </w:tr>
      <w:tr>
        <w:tc>
          <w:tcPr>
            <w:tcW w:type="auto" w:w="3023"/>
          </w:tcPr>
          <w:p>
            <w:pPr>
              <w:jc w:val="left"/>
            </w:pPr>
            <w:r>
              <w:t>Informatiebeveiligingsexpert</w:t>
            </w:r>
          </w:p>
        </w:tc>
        <w:tc>
          <w:tcPr>
            <w:tcW w:type="auto" w:w="3023"/>
          </w:tcPr>
          <w:p>
            <w:pPr>
              <w:jc w:val="left"/>
            </w:pPr>
            <w:r>
              <w:rPr>
                <w:color w:val="000000"/>
                <w:highlight w:val="yellow"/>
              </w:rPr>
              <w:t>{x}</w:t>
            </w:r>
            <w:r>
              <w:t xml:space="preserve"> uur</w:t>
            </w:r>
          </w:p>
        </w:tc>
        <w:tc>
          <w:tcPr>
            <w:tcW w:type="auto" w:w="3023"/>
          </w:tcPr>
          <w:p>
            <w:pPr>
              <w:jc w:val="left"/>
            </w:pPr>
            <w:r>
              <w:t xml:space="preserve">Penvoerder </w:t>
            </w:r>
            <w:r>
              <w:rPr>
                <w:color w:val="000000"/>
                <w:highlight w:val="yellow"/>
              </w:rPr>
              <w:t>{documenten}</w:t>
            </w:r>
            <w:r>
              <w:t xml:space="preserve">, reviewen </w:t>
            </w:r>
            <w:r>
              <w:rPr>
                <w:color w:val="000000"/>
                <w:highlight w:val="yellow"/>
              </w:rPr>
              <w:t>{documenten}</w:t>
            </w:r>
          </w:p>
        </w:tc>
      </w:tr>
      <w:tr>
        <w:tc>
          <w:tcPr>
            <w:tcW w:type="auto" w:w="3023"/>
          </w:tcPr>
          <w:p>
            <w:pPr>
              <w:jc w:val="left"/>
            </w:pPr>
            <w:r>
              <w:t>Privacy-expert</w:t>
            </w:r>
          </w:p>
        </w:tc>
        <w:tc>
          <w:tcPr>
            <w:tcW w:type="auto" w:w="3023"/>
          </w:tcPr>
          <w:p>
            <w:pPr>
              <w:jc w:val="left"/>
            </w:pPr>
            <w:r>
              <w:rPr>
                <w:color w:val="000000"/>
                <w:highlight w:val="yellow"/>
              </w:rPr>
              <w:t>{x}</w:t>
            </w:r>
            <w:r>
              <w:t xml:space="preserve"> uur</w:t>
            </w:r>
          </w:p>
        </w:tc>
        <w:tc>
          <w:tcPr>
            <w:tcW w:type="auto" w:w="3023"/>
          </w:tcPr>
          <w:p>
            <w:pPr>
              <w:jc w:val="left"/>
            </w:pPr>
            <w:r>
              <w:t xml:space="preserve">Penvoerder </w:t>
            </w:r>
            <w:r>
              <w:rPr>
                <w:color w:val="000000"/>
                <w:highlight w:val="yellow"/>
              </w:rPr>
              <w:t>{documenten}</w:t>
            </w:r>
            <w:r>
              <w:t xml:space="preserve">, reviewen </w:t>
            </w:r>
            <w:r>
              <w:rPr>
                <w:color w:val="000000"/>
                <w:highlight w:val="yellow"/>
              </w:rPr>
              <w:t>{documenten}</w:t>
            </w:r>
          </w:p>
        </w:tc>
      </w:tr>
      <w:tr>
        <w:tc>
          <w:tcPr>
            <w:tcW w:type="auto" w:w="3023"/>
          </w:tcPr>
          <w:p>
            <w:pPr>
              <w:jc w:val="left"/>
            </w:pPr>
            <w:r>
              <w:t>Testmanager</w:t>
            </w:r>
          </w:p>
        </w:tc>
        <w:tc>
          <w:tcPr>
            <w:tcW w:type="auto" w:w="3023"/>
          </w:tcPr>
          <w:p>
            <w:pPr>
              <w:jc w:val="left"/>
            </w:pPr>
            <w:r>
              <w:rPr>
                <w:color w:val="000000"/>
                <w:highlight w:val="yellow"/>
              </w:rPr>
              <w:t>{x}</w:t>
            </w:r>
            <w:r>
              <w:t xml:space="preserve"> uur</w:t>
            </w:r>
          </w:p>
        </w:tc>
        <w:tc>
          <w:tcPr>
            <w:tcW w:type="auto" w:w="3023"/>
          </w:tcPr>
          <w:p>
            <w:pPr>
              <w:jc w:val="left"/>
            </w:pPr>
            <w:r>
              <w:t xml:space="preserve">Penvoerder detailtestplan softwarerealisatie, reviewen </w:t>
            </w:r>
            <w:r>
              <w:rPr>
                <w:color w:val="000000"/>
                <w:highlight w:val="yellow"/>
              </w:rPr>
              <w:t>{documenten}</w:t>
            </w:r>
          </w:p>
        </w:tc>
      </w:tr>
      <w:tr>
        <w:tc>
          <w:tcPr>
            <w:tcW w:type="auto" w:w="3023"/>
          </w:tcPr>
          <w:p>
            <w:pPr>
              <w:jc w:val="left"/>
            </w:pPr>
            <w:r>
              <w:t>Kwaliteitsmanager</w:t>
            </w:r>
          </w:p>
        </w:tc>
        <w:tc>
          <w:tcPr>
            <w:tcW w:type="auto" w:w="3023"/>
          </w:tcPr>
          <w:p>
            <w:pPr>
              <w:jc w:val="left"/>
            </w:pPr>
            <w:r>
              <w:rPr>
                <w:color w:val="000000"/>
                <w:highlight w:val="yellow"/>
              </w:rPr>
              <w:t>{x}</w:t>
            </w:r>
            <w:r>
              <w:t xml:space="preserve"> uur</w:t>
            </w:r>
          </w:p>
        </w:tc>
        <w:tc>
          <w:tcPr>
            <w:tcW w:type="auto" w:w="3023"/>
          </w:tcPr>
          <w:p>
            <w:pPr>
              <w:jc w:val="left"/>
            </w:pPr>
            <w:r>
              <w:t xml:space="preserve">Penvoerder kwaliteitsplan, reviewen </w:t>
            </w:r>
            <w:r>
              <w:rPr>
                <w:color w:val="000000"/>
                <w:highlight w:val="yellow"/>
              </w:rPr>
              <w:t>{documenten}</w:t>
            </w:r>
          </w:p>
        </w:tc>
      </w:tr>
      <w:tr>
        <w:tc>
          <w:tcPr>
            <w:tcW w:type="auto" w:w="3023"/>
          </w:tcPr>
          <w:p>
            <w:pPr>
              <w:jc w:val="left"/>
            </w:pPr>
            <w:r>
              <w:t>Software delivery manager</w:t>
            </w:r>
          </w:p>
        </w:tc>
        <w:tc>
          <w:tcPr>
            <w:tcW w:type="auto" w:w="3023"/>
          </w:tcPr>
          <w:p>
            <w:pPr>
              <w:jc w:val="left"/>
            </w:pPr>
            <w:r>
              <w:rPr>
                <w:color w:val="000000"/>
                <w:highlight w:val="yellow"/>
              </w:rPr>
              <w:t>{x}</w:t>
            </w:r>
            <w:r>
              <w:t xml:space="preserve"> uur</w:t>
            </w:r>
          </w:p>
        </w:tc>
        <w:tc>
          <w:tcPr>
            <w:tcW w:type="auto" w:w="3023"/>
          </w:tcPr>
          <w:p>
            <w:pPr>
              <w:jc w:val="left"/>
            </w:pPr>
            <w:r>
              <w:t xml:space="preserve">Opstellen plan van aanpak voorfase en plan van aanpak realisatiefase, reviewen </w:t>
            </w:r>
            <w:r>
              <w:rPr>
                <w:color w:val="000000"/>
                <w:highlight w:val="yellow"/>
              </w:rPr>
              <w:t>{documenten}</w:t>
            </w:r>
            <w:r>
              <w:t>, faciliteren en coördineren van het Scrumteam, inhoudelijke rapportage</w:t>
            </w:r>
          </w:p>
        </w:tc>
      </w:tr>
      <w:tr>
        <w:tc>
          <w:tcPr>
            <w:tcW w:type="auto" w:w="3023"/>
          </w:tcPr>
          <w:p>
            <w:pPr>
              <w:jc w:val="left"/>
            </w:pPr>
            <w:r>
              <w:t>Projectleider</w:t>
            </w:r>
          </w:p>
        </w:tc>
        <w:tc>
          <w:tcPr>
            <w:tcW w:type="auto" w:w="3023"/>
          </w:tcPr>
          <w:p>
            <w:pPr>
              <w:jc w:val="left"/>
            </w:pPr>
            <w:r>
              <w:rPr>
                <w:color w:val="000000"/>
                <w:highlight w:val="yellow"/>
              </w:rPr>
              <w:t>{x}</w:t>
            </w:r>
            <w:r>
              <w:t xml:space="preserve"> uur</w:t>
            </w:r>
          </w:p>
        </w:tc>
        <w:tc>
          <w:tcPr>
            <w:tcW w:type="auto" w:w="3023"/>
          </w:tcPr>
          <w:p>
            <w:pPr>
              <w:jc w:val="left"/>
            </w:pPr>
            <w:r>
              <w:t>Voorbereiden en plannen kick-off, opstellen plan van aanpak en voorstel inclusief projectovereenkomst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color w:val="000000"/>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color w:val="000000"/>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color w:val="000000"/>
                <w:highlight w:val="yellow"/>
              </w:rPr>
              <w:t>{x}</w:t>
            </w:r>
            <w:r>
              <w:rPr>
                <w:b/>
              </w:rPr>
              <w:t xml:space="preserve"> uur</w:t>
            </w:r>
          </w:p>
        </w:tc>
        <w:tc>
          <w:tcPr>
            <w:tcW w:type="auto" w:w="3023"/>
          </w:tcPr>
          <w:p>
            <w:pPr>
              <w:jc w:val="left"/>
            </w:pPr>
          </w:p>
        </w:tc>
      </w:tr>
    </w:tbl>
    <w:p>
      <w:r>
        <w:rPr>
          <w:color w:val="000000"/>
          <w:highlight w:val="yellow"/>
        </w:rPr>
        <w:t>{In de projectovereenkomst moet in de begroting met onderstaande opmerkingen rekening worden gehouden.}</w:t>
      </w:r>
    </w:p>
    <w:p>
      <w:r>
        <w:rPr>
          <w:color w:val="000000"/>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rPr>
          <w:color w:val="000000"/>
          <w:highlight w:val="yellow"/>
        </w:rPr>
        <w:t>{Er moet budget gereserveerd worden voor het werven van externe medewerkers voor de voorfase en voor een eventuele overgangsfase tussen voorfase en realisatie. Dit laatste voor het geval er nog geen opdracht is en de opdrachtgevende organisatie nog niet betaalt, terwijl ICTU wel kosten maakt (bijvoorbeeld voor het vasthouden van ingehuurde deskundigen voor de realisatiefase).}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7">
              <w:r>
                <w:rPr>
                  <w:rStyle w:val="Hyperlink"/>
                </w:rPr>
                <w:t>BIO</w:t>
              </w:r>
            </w:hyperlink>
          </w:p>
        </w:tc>
        <w:tc>
          <w:tcPr>
            <w:tcW w:type="auto" w:w="4535"/>
          </w:tcPr>
          <w:p>
            <w:pPr>
              <w:jc w:val="left"/>
            </w:pPr>
            <w:r>
              <w:t>Baseline Informatiebeveiliging Overheid.</w:t>
            </w:r>
          </w:p>
        </w:tc>
      </w:tr>
      <w:tr>
        <w:tc>
          <w:tcPr>
            <w:tcW w:type="auto" w:w="4535"/>
          </w:tcPr>
          <w:p>
            <w:pPr>
              <w:jc w:val="left"/>
            </w:pPr>
            <w:hyperlink r:id="rId18">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9">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0">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1">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22">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23">
              <w:r>
                <w:rPr>
                  <w:rStyle w:val="Hyperlink"/>
                </w:rPr>
                <w:t>NEN 7510-2:2024</w:t>
              </w:r>
            </w:hyperlink>
          </w:p>
        </w:tc>
        <w:tc>
          <w:tcPr>
            <w:tcW w:type="auto" w:w="4535"/>
          </w:tcPr>
          <w:p>
            <w:pPr>
              <w:jc w:val="left"/>
            </w:pPr>
          </w:p>
        </w:tc>
      </w:tr>
      <w:tr>
        <w:tc>
          <w:tcPr>
            <w:tcW w:type="auto" w:w="4535"/>
          </w:tcPr>
          <w:p>
            <w:pPr>
              <w:jc w:val="left"/>
            </w:pPr>
            <w:hyperlink r:id="rId24">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5">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6">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7">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9"/>
        </w:numPr>
      </w:pPr>
      <w:r>
        <w:t>Opdrachtgevende organisaties helpen bekende risico's bij softwareontwikkeling, zoals technische schuld, vertraging en defecten, zo veel mogelijk te voorkomen.</w:t>
      </w:r>
    </w:p>
    <w:p>
      <w:pPr>
        <w:pStyle w:val="Lijstnummering1"/>
        <w:numPr>
          <w:ilvl w:val="0"/>
          <w:numId w:val="19"/>
        </w:numPr>
      </w:pPr>
      <w:r>
        <w:t>ICTU helpen om software te ontwikkelen die de missie van ICTU, namelijk bijdragen aan een betere digitale overheid, ondersteunt.</w:t>
      </w:r>
    </w:p>
    <w:p>
      <w:pPr>
        <w:pStyle w:val="Lijstnummering1"/>
        <w:numPr>
          <w:ilvl w:val="0"/>
          <w:numId w:val="19"/>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34">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Voorfase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ictu.github.io/Kwaliteitsaanpak/wip/ICTU-Template-Plan-van-Aanpak-Voorfase-Producten.xlsx" TargetMode="External"/><Relationship Id="rId17" Type="http://schemas.openxmlformats.org/officeDocument/2006/relationships/hyperlink" Target="https://bio-overheid.nl/media/1572/bio-versie-104zv_def.pdf" TargetMode="External"/><Relationship Id="rId18" Type="http://schemas.openxmlformats.org/officeDocument/2006/relationships/hyperlink" Target="https://www.iso.org/standard/77520.html" TargetMode="External"/><Relationship Id="rId19" Type="http://schemas.openxmlformats.org/officeDocument/2006/relationships/hyperlink" Target="https://www.ncsc.nl/documenten/publicaties/2019/mei/01/ict-beveiligingsrichtlijnen-voor-webapplicaties" TargetMode="External"/><Relationship Id="rId20" Type="http://schemas.openxmlformats.org/officeDocument/2006/relationships/hyperlink" Target="https://www.nen.nl/nen-iso-iec-25010-2023-en-318088" TargetMode="External"/><Relationship Id="rId21" Type="http://schemas.openxmlformats.org/officeDocument/2006/relationships/hyperlink" Target="https://www.nen.nl/nen-en-iso-iec-27001-2023-nl-314206" TargetMode="External"/><Relationship Id="rId22" Type="http://schemas.openxmlformats.org/officeDocument/2006/relationships/hyperlink" Target="https://www.nen.nl/nen-en-iso-iec-27002-2022-nl-304509" TargetMode="External"/><Relationship Id="rId23" Type="http://schemas.openxmlformats.org/officeDocument/2006/relationships/hyperlink" Target="https://www.nen.nl/nen-7510-2-2024-nl-331314" TargetMode="External"/><Relationship Id="rId24" Type="http://schemas.openxmlformats.org/officeDocument/2006/relationships/hyperlink" Target="https://www.nen.nl/npr-5325-2017-nl-238298" TargetMode="External"/><Relationship Id="rId25" Type="http://schemas.openxmlformats.org/officeDocument/2006/relationships/hyperlink" Target="https://www.nen.nl/npr-5326-2019-nl-262885" TargetMode="External"/><Relationship Id="rId26" Type="http://schemas.openxmlformats.org/officeDocument/2006/relationships/hyperlink" Target="https://www.noraonline.nl" TargetMode="External"/><Relationship Id="rId27" Type="http://schemas.openxmlformats.org/officeDocument/2006/relationships/hyperlink" Target="https://owasp.org/www-project-top-ten/"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4-10-01/0"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