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31-03-2023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{de applicatie}</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{de applicatie}</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rPr>
          <w:highlight w:val="yellow"/>
        </w:rPr>
        <w:t>{Dit hoofdstuk bevat een aantal veelgebruikte ontwerpbeslissingen. Waar nodig moeten ze worden aangevuld of aangepast.}</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{De applicatie}</w:t>
      </w:r>
      <w:r>
        <w:t xml:space="preserve"> is gebaseerd op industriestandaarden </w:t>
      </w:r>
      <w:r>
        <w:rPr>
          <w:highlight w:val="yellow"/>
        </w:rPr>
        <w:t>{opsomming van standaarden}</w:t>
      </w:r>
      <w:r>
        <w:t xml:space="preserve">. Om deze standaarden te implementeren gebruikt </w:t>
      </w:r>
      <w:r>
        <w:rPr>
          <w:highlight w:val="yellow"/>
        </w:rPr>
        <w:t>{de applicatie}</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{De Applicatie}</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{de applicatie}</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{de applicatie}</w:t>
      </w:r>
      <w:r>
        <w:t xml:space="preserve"> samen. De maatregelen zijn gegroepeerd naar systeemfunctie en voorzien van verwijzingen naar maatregelen in de risicoanalyse (</w:t>
      </w:r>
      <w:r>
        <w:rPr>
          <w:highlight w:val="yellow"/>
        </w:rPr>
        <w:t>{referentie}</w:t>
      </w:r>
      <w:r>
        <w:t>) en het informatiebeveiligingsplan (</w:t>
      </w:r>
      <w:r>
        <w:rPr>
          <w:highlight w:val="yellow"/>
        </w:rPr>
        <w: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{de applicatie}</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41515/2020-07-15" TargetMode="External"/><Relationship Id="rId30" Type="http://schemas.openxmlformats.org/officeDocument/2006/relationships/hyperlink" Target="https://www.tweedekamer.nl/sites/default/files/field_uploads/33326-5-Eindrapport_tcm181-239826.pdf" TargetMode="External"/><Relationship Id="rId31"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