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16-12-2024</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{het product}</w:t>
      </w:r>
      <w:r>
        <w:t xml:space="preserve"> heeft de volgende functies (PSA, </w:t>
      </w:r>
      <w:r>
        <w:rPr>
          <w:color w:val="000000"/>
          <w:highlight w:val="yellow"/>
        </w:rPr>
        <w:t>{documentreferentie}</w:t>
      </w:r>
      <w:r>
        <w:t>):</w:t>
      </w:r>
    </w:p>
    <w:p>
      <w:pPr>
        <w:pStyle w:val="Lijstopsomteken1"/>
        <w:numPr>
          <w:ilvl w:val="0"/>
        </w:numPr>
      </w:pPr>
      <w:r>
        <w:rPr>
          <w:color w:val="000000"/>
          <w:highlight w:val="yellow"/>
        </w:rPr>
        <w:t>{Functie 1}</w:t>
      </w:r>
    </w:p>
    <w:p>
      <w:pPr>
        <w:pStyle w:val="Lijstopsomteken1"/>
        <w:numPr>
          <w:ilvl w:val="0"/>
        </w:numPr>
      </w:pPr>
      <w:r>
        <w:rPr>
          <w:color w:val="000000"/>
          <w:highlight w:val="yellow"/>
        </w:rPr>
        <w:t>{Functie 2}</w:t>
      </w:r>
    </w:p>
    <w:p>
      <w:pPr>
        <w:pStyle w:val="Lijstopsomteken1"/>
        <w:numPr>
          <w:ilvl w:val="0"/>
        </w:numPr>
      </w:pPr>
      <w:r>
        <w:rPr>
          <w:color w:val="000000"/>
          <w:highlight w:val="yellow"/>
        </w:rPr>
        <w:t>{Functie 3}</w:t>
      </w:r>
    </w:p>
    <w:p>
      <w:r>
        <w:t xml:space="preserve">Deze functies realiseren gezamenlijk het doel van </w:t>
      </w:r>
      <w:r>
        <w:rPr>
          <w:color w:val="000000"/>
          <w:highlight w:val="yellow"/>
        </w:rPr>
        <w:t>{het product}</w:t>
      </w:r>
      <w:r>
        <w:t xml:space="preserve">, namelijk </w:t>
      </w:r>
      <w:r>
        <w:rPr>
          <w:color w:val="000000"/>
          <w:highlight w:val="yellow"/>
        </w:rPr>
        <w:t>{het doel}</w:t>
      </w:r>
      <w:r>
        <w:t>.</w:t>
      </w:r>
    </w:p>
    <w:p>
      <w:r>
        <w:t xml:space="preserve">Omdat </w:t>
      </w:r>
      <w:r>
        <w:rPr>
          <w:color w:val="000000"/>
          <w:highlight w:val="yellow"/>
        </w:rPr>
        <w:t>{het product}</w:t>
      </w:r>
      <w:r>
        <w:t xml:space="preserve"> </w:t>
      </w:r>
      <w:r>
        <w:rPr>
          <w:color w:val="000000"/>
          <w:highlight w:val="yellow"/>
        </w:rPr>
        <w:t>{rationale}</w:t>
      </w:r>
      <w:r>
        <w:t xml:space="preserve"> is </w:t>
      </w:r>
      <w:r>
        <w:rPr>
          <w:color w:val="000000"/>
          <w:highlight w:val="yellow"/>
        </w:rPr>
        <w:t>{kwaliteitsaspect 1}</w:t>
      </w:r>
      <w:r>
        <w:t xml:space="preserve"> de belangrijkste niet-functionele eigenschap. Dat betekent dat </w:t>
      </w:r>
      <w:r>
        <w:rPr>
          <w:color w:val="000000"/>
          <w:highlight w:val="yellow"/>
        </w:rPr>
        <w:t>{belangrijkste concrete niet-functionele eis voor kwaliteitsaspect 1}</w:t>
      </w:r>
      <w:r>
        <w:t xml:space="preserve">. Daarnaast </w:t>
      </w:r>
      <w:r>
        <w:rPr>
          <w:color w:val="000000"/>
          <w:highlight w:val="yellow"/>
        </w:rPr>
        <w:t>{volgende niet-functionele eis voor kwaliteitsaspect 1}</w:t>
      </w:r>
      <w:r>
        <w:t>.</w:t>
      </w:r>
    </w:p>
    <w:p>
      <w:r>
        <w:t xml:space="preserve">Naast </w:t>
      </w:r>
      <w:r>
        <w:rPr>
          <w:color w:val="000000"/>
          <w:highlight w:val="yellow"/>
        </w:rPr>
        <w:t>{kwaliteitsaspect 1}</w:t>
      </w:r>
      <w:r>
        <w:t xml:space="preserve"> is ook </w:t>
      </w:r>
      <w:r>
        <w:rPr>
          <w:color w:val="000000"/>
          <w:highlight w:val="yellow"/>
        </w:rPr>
        <w:t>{kwaliteitsaspect 2}</w:t>
      </w:r>
      <w:r>
        <w:t xml:space="preserve"> van groot belang omdat </w:t>
      </w:r>
      <w:r>
        <w:rPr>
          <w:color w:val="000000"/>
          <w:highlight w:val="yellow"/>
        </w:rPr>
        <w:t>{rationale}</w:t>
      </w:r>
      <w:r>
        <w:t xml:space="preserve">. Er geldt dat </w:t>
      </w:r>
      <w:r>
        <w:rPr>
          <w:color w:val="000000"/>
          <w:highlight w:val="yellow"/>
        </w:rPr>
        <w:t>{belangrijkste concrete niet-functionele eis voor kwaliteitsaspect 2}</w:t>
      </w:r>
      <w:r>
        <w:t xml:space="preserve">. Ook geldt dat </w:t>
      </w:r>
      <w:r>
        <w:rPr>
          <w:color w:val="000000"/>
          <w:highlight w:val="yellow"/>
        </w:rPr>
        <w:t>{volgende niet-functionele eis voor kwaliteitsaspect 2}</w:t>
      </w:r>
      <w:r>
        <w:t>.</w:t>
      </w:r>
    </w:p>
    <w:p>
      <w:r>
        <w:t xml:space="preserve">Omdat </w:t>
      </w:r>
      <w:r>
        <w:rPr>
          <w:color w:val="000000"/>
          <w:highlight w:val="yellow"/>
        </w:rPr>
        <w:t>{rationale}</w:t>
      </w:r>
      <w:r>
        <w:t xml:space="preserve"> is ook </w:t>
      </w:r>
      <w:r>
        <w:rPr>
          <w:color w:val="000000"/>
          <w:highlight w:val="yellow"/>
        </w:rPr>
        <w:t>{kwaliteitsaspect 3}</w:t>
      </w:r>
      <w:r>
        <w:t xml:space="preserve"> van belang. Daarom </w:t>
      </w:r>
      <w:r>
        <w:rPr>
          <w:color w:val="000000"/>
          <w:highlight w:val="yellow"/>
        </w:rPr>
        <w:t>{belangrijkste concrete niet-functionele eis voor kwaliteitsaspect 3}</w:t>
      </w:r>
      <w:r>
        <w:t xml:space="preserve">. Ook zal </w:t>
      </w:r>
      <w:r>
        <w:rPr>
          <w:color w:val="000000"/>
          <w:highlight w:val="yellow"/>
        </w:rPr>
        <w:t>{volgende niet-functionele eis voor kwaliteitsaspect 3}</w:t>
      </w:r>
      <w:r>
        <w:t>.</w:t>
      </w:r>
    </w:p>
    <w:p>
      <w:r>
        <w:t xml:space="preserve">Uiteraard voldoet </w:t>
      </w:r>
      <w:r>
        <w:rPr>
          <w:color w:val="000000"/>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color w:val="000000"/>
          <w:highlight w:val="yellow"/>
        </w:rPr>
        <w:t>{het product}</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color w:val="000000"/>
          <w:highlight w:val="yellow"/>
        </w:rPr>
        <w:t>{workshop}</w:t>
      </w:r>
      <w:r>
        <w:t xml:space="preserve"> op </w:t>
      </w:r>
      <w:r>
        <w:rPr>
          <w:color w:val="000000"/>
          <w:highlight w:val="yellow"/>
        </w:rPr>
        <w:t>{datum}</w:t>
      </w:r>
      <w:r>
        <w:t xml:space="preserve">: </w:t>
      </w:r>
      <w:r>
        <w:rPr>
          <w:color w:val="000000"/>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color w:val="000000"/>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color w:val="000000"/>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voldoet aan de WCAG2.2 succescriteria, niveau A en AA</w:t>
            </w:r>
          </w:p>
        </w:tc>
        <w:tc>
          <w:tcPr>
            <w:tcW w:type="auto" w:w="1296"/>
          </w:tcPr>
          <w:p>
            <w:pPr>
              <w:jc w:val="left"/>
            </w:pPr>
            <w:r>
              <w:rPr>
                <w:color w:val="000000"/>
                <w:highlight w:val="yellow"/>
              </w:rPr>
              <w:t>{prio}</w:t>
            </w:r>
          </w:p>
        </w:tc>
        <w:tc>
          <w:tcPr>
            <w:tcW w:type="auto" w:w="1296"/>
          </w:tcPr>
          <w:p>
            <w:pPr>
              <w:jc w:val="left"/>
            </w:pPr>
            <w:r>
              <w:t>Wettelijke verplichting</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t>Axe-core rapportage</w:t>
            </w:r>
          </w:p>
        </w:tc>
      </w:tr>
    </w:tbl>
    <w:p>
      <w:r>
        <w:t xml:space="preserve">Onderstaande tabel bevat de WCAG2.2 succescriteria. </w:t>
      </w:r>
      <w:r>
        <w:rPr>
          <w:color w:val="000000"/>
          <w:highlight w:val="yellow"/>
        </w:rPr>
        <w:t>{Verwijder de AAA-succescriteria indien gewenst.}</w:t>
      </w:r>
      <w:r>
        <w:t xml:space="preserve"> Per succescriterium is aangegeven of Axe-core, en zo ja met welke regels, het criterium geautomatiseerd kan controleren. </w:t>
      </w:r>
      <w:r>
        <w:rPr>
          <w:color w:val="000000"/>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4.10.2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color w:val="000000"/>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color w:val="000000"/>
                <w:highlight w:val="yellow"/>
              </w:rPr>
              <w:t>{prio}</w:t>
            </w:r>
          </w:p>
        </w:tc>
        <w:tc>
          <w:tcPr>
            <w:tcW w:type="auto" w:w="1296"/>
          </w:tcPr>
          <w:p>
            <w:pPr>
              <w:jc w:val="left"/>
            </w:pPr>
            <w:hyperlink r:id="rId197">
              <w:r>
                <w:rPr>
                  <w:rStyle w:val="Hyperlink"/>
                </w:rPr>
                <w:t>Aanbevolen richtlijn</w:t>
              </w:r>
            </w:hyperlink>
          </w:p>
        </w:tc>
        <w:tc>
          <w:tcPr>
            <w:tcW w:type="auto" w:w="1296"/>
          </w:tcPr>
          <w:p>
            <w:pPr>
              <w:jc w:val="left"/>
            </w:pPr>
            <w:r>
              <w:rPr>
                <w:color w:val="000000"/>
                <w:highlight w:val="yellow"/>
              </w:rPr>
              <w:t>{software}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 xml:space="preserve">De applicatie ondersteunt </w:t>
            </w:r>
            <w:r>
              <w:rPr>
                <w:color w:val="000000"/>
                <w:highlight w:val="yellow"/>
              </w:rPr>
              <w:t>{ondersteunde talen}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rPr>
                <w:color w:val="000000"/>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color w:val="000000"/>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color w:val="000000"/>
                <w:highlight w:val="yellow"/>
              </w:rPr>
              <w:t>{prio}</w:t>
            </w:r>
          </w:p>
        </w:tc>
        <w:tc>
          <w:tcPr>
            <w:tcW w:type="auto" w:w="1296"/>
          </w:tcPr>
          <w:p>
            <w:pPr>
              <w:jc w:val="left"/>
            </w:pPr>
            <w:r>
              <w:t>Hierdoor kunnen de lagen beschermd worden binnen de netwerkzones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color w:val="000000"/>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color w:val="000000"/>
                <w:highlight w:val="yellow"/>
              </w:rPr>
              <w:t>{prio}</w:t>
            </w:r>
          </w:p>
        </w:tc>
        <w:tc>
          <w:tcPr>
            <w:tcW w:type="auto" w:w="1296"/>
          </w:tcPr>
          <w:p>
            <w:pPr>
              <w:jc w:val="left"/>
            </w:pPr>
            <w:r>
              <w:t>Mogelijk maken van toekomstig onderzoek en toegangscontrole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color w:val="000000"/>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color w:val="000000"/>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15</w:t>
            </w:r>
          </w:p>
        </w:tc>
        <w:tc>
          <w:tcPr>
            <w:tcW w:type="auto" w:w="1296"/>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aanbevolen versies van externe bibliotheken, raamwerken of andersoortige bouwblokken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color w:val="000000"/>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color w:val="000000"/>
                <w:highlight w:val="yellow"/>
              </w:rPr>
              <w:t>{prio}</w:t>
            </w:r>
          </w:p>
        </w:tc>
        <w:tc>
          <w:tcPr>
            <w:tcW w:type="auto" w:w="1296"/>
          </w:tcPr>
          <w:p>
            <w:pPr>
              <w:jc w:val="left"/>
            </w:pPr>
            <w:r>
              <w:t>Voorkomt misbruik van het commentaar</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color w:val="000000"/>
                <w:highlight w:val="yellow"/>
              </w:rPr>
              <w:t>{prio}</w:t>
            </w:r>
          </w:p>
        </w:tc>
        <w:tc>
          <w:tcPr>
            <w:tcW w:type="auto" w:w="1296"/>
          </w:tcPr>
          <w:p>
            <w:pPr>
              <w:jc w:val="left"/>
            </w:pPr>
            <w:r>
              <w:t>Voorkomt misbruik van de directory listing</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p>
        </w:tc>
        <w:tc>
          <w:tcPr>
            <w:tcW w:type="auto" w:w="1296"/>
          </w:tcPr>
          <w:p>
            <w:pPr>
              <w:jc w:val="left"/>
            </w:pPr>
            <w:r>
              <w:rPr>
                <w:color w:val="000000"/>
                <w:highlight w:val="yellow"/>
              </w:rP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{software, hardware, combinatie}</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11-en-157265"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wip/ICTU-Kwaliteitsaanpak-Wijzigingsgeschiedenis.pdf" TargetMode="External"/><Relationship Id="rId216"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