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highlight w:val="yellow"/>
              </w:rPr>
              <w:t>{prio}</w:t>
            </w:r>
          </w:p>
        </w:tc>
        <w:tc>
          <w:tcPr>
            <w:tcW w:type="auto" w:w="1296"/>
          </w:tcPr>
          <w:p>
            <w:pPr>
              <w:jc w:val="left"/>
            </w:pPr>
            <w:r>
              <w:t>Wettelijke verplichting</w:t>
            </w:r>
          </w:p>
        </w:tc>
        <w:tc>
          <w:tcPr>
            <w:tcW w:type="auto" w:w="1296"/>
          </w:tcPr>
          <w:p>
            <w:pPr>
              <w:jc w:val="left"/>
            </w:pPr>
            <w:r>
              <w:rPr>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highlight w:val="yellow"/>
              </w:rPr>
              <w:t>{software}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 xml:space="preserve">De applicatie ondersteunt </w:t>
            </w:r>
            <w:r>
              <w:rPr>
                <w:highlight w:val="yellow"/>
              </w:rPr>
              <w:t>{ondersteunde talen}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w:t>
            </w:r>
          </w:p>
        </w:tc>
        <w:tc>
          <w:tcPr>
            <w:tcW w:type="auto" w:w="1296"/>
          </w:tcPr>
          <w:p>
            <w:pPr>
              <w:jc w:val="left"/>
            </w:pPr>
            <w:r>
              <w:t>ICTU</w:t>
            </w:r>
          </w:p>
        </w:tc>
        <w:tc>
          <w:tcPr>
            <w:tcW w:type="auto" w:w="1296"/>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