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24-12-2025</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pPr>
        <w:pStyle w:val="Kop2"/>
      </w:pPr>
      <w:r>
        <w:t>Doelgroep</w:t>
      </w:r>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(PSA)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(NFE)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2.5 staan beschreven in paragraaf 5.16.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data protection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{Zie de bijlage "Gebruik van Jira" voor meer informatie.}</w:t>
      </w:r>
    </w:p>
    <w:p>
      <w:pPr>
        <w:pStyle w:val="Lijstnummering1"/>
        <w:numPr>
          <w:ilvl w:val="0"/>
          <w:numId w:val="18"/>
        </w:numPr>
      </w:pPr>
      <w:r>
        <w:t xml:space="preserve">De story voldoet aan de </w:t>
      </w:r>
      <w:hyperlink r:id="rId17">
        <w:r>
          <w:rPr>
            <w:rStyle w:val="Hyperlink"/>
          </w:rPr>
          <w:t>INVEST-criteria</w:t>
        </w:r>
      </w:hyperlink>
      <w:r>
        <w:t>.</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8">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t>Python</w:t>
            </w:r>
          </w:p>
        </w:tc>
        <w:tc>
          <w:tcPr>
            <w:tcW w:type="auto" w:w="3023"/>
          </w:tcPr>
          <w:p>
            <w:pPr>
              <w:jc w:val="left"/>
            </w:pPr>
            <w:hyperlink r:id="rId19">
              <w:r>
                <w:rPr>
                  <w:rStyle w:val="Hyperlink"/>
                </w:rPr>
                <w:t>PEP-8</w:t>
              </w:r>
            </w:hyperlink>
          </w:p>
        </w:tc>
        <w:tc>
          <w:tcPr>
            <w:tcW w:type="auto" w:w="3023"/>
          </w:tcPr>
          <w:p>
            <w:pPr>
              <w:jc w:val="left"/>
            </w:pPr>
            <w:r>
              <w:t>Ruff</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{codeerstandaard}</w:t>
            </w:r>
          </w:p>
        </w:tc>
        <w:tc>
          <w:tcPr>
            <w:tcW w:type="auto" w:w="3023"/>
          </w:tcPr>
          <w:p>
            <w:pPr>
              <w:jc w:val="left"/>
            </w:pPr>
            <w:r>
              <w:rPr>
                <w:color w:val="000000"/>
                <w:highlight w:val="yellow"/>
              </w:rPr>
              <w:t>{broncodereview}</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r>
        <w:t>Gebruik deze checklist voor het uitvoeren van de broncodereviews:</w:t>
      </w:r>
    </w:p>
    <w:p>
      <w:pPr>
        <w:pStyle w:val="Lijstnummering1"/>
        <w:numPr>
          <w:ilvl w:val="0"/>
          <w:numId w:val="21"/>
        </w:numPr>
      </w:pPr>
      <w:r>
        <w:t>Voorbereiden</w:t>
      </w:r>
    </w:p>
    <w:p>
      <w:pPr>
        <w:pStyle w:val="Lijstnummering1"/>
        <w:numPr>
          <w:ilvl w:val="1"/>
          <w:numId w:val="22"/>
        </w:numPr>
      </w:pPr>
      <w:r>
        <w:t>Lees de user story inclusief acceptatiecriteria.</w:t>
      </w:r>
    </w:p>
    <w:p>
      <w:pPr>
        <w:pStyle w:val="Lijstnummering1"/>
        <w:numPr>
          <w:ilvl w:val="1"/>
          <w:numId w:val="22"/>
        </w:numPr>
      </w:pPr>
      <w:r>
        <w:t>Lees de relevante use cases/onderdelen van het Globaal Functioneel Ontwerp.</w:t>
      </w:r>
    </w:p>
    <w:p>
      <w:pPr>
        <w:pStyle w:val="Lijstnummering1"/>
        <w:numPr>
          <w:ilvl w:val="1"/>
          <w:numId w:val="22"/>
        </w:numPr>
      </w:pPr>
      <w:r>
        <w:t>Denk na hoe jij de oplossing zou bouwen en noteer kort jouw verwachtingen.</w:t>
      </w:r>
    </w:p>
    <w:p>
      <w:pPr>
        <w:pStyle w:val="Lijstnummering1"/>
        <w:numPr>
          <w:ilvl w:val="0"/>
          <w:numId w:val="21"/>
        </w:numPr>
      </w:pPr>
      <w:r>
        <w:t>Controleren op functionaliteit</w:t>
      </w:r>
    </w:p>
    <w:p>
      <w:pPr>
        <w:pStyle w:val="Lijstnummering1"/>
        <w:numPr>
          <w:ilvl w:val="1"/>
          <w:numId w:val="23"/>
        </w:numPr>
      </w:pPr>
      <w:r>
        <w:t>Sluit de code aan bij de user story en acceptatiecriteria?</w:t>
      </w:r>
    </w:p>
    <w:p>
      <w:pPr>
        <w:pStyle w:val="Lijstnummering1"/>
        <w:numPr>
          <w:ilvl w:val="1"/>
          <w:numId w:val="23"/>
        </w:numPr>
      </w:pPr>
      <w:r>
        <w:t>Zijn randgevallen en foutafhandeling meegenomen?</w:t>
      </w:r>
    </w:p>
    <w:p>
      <w:pPr>
        <w:pStyle w:val="Lijstnummering1"/>
        <w:numPr>
          <w:ilvl w:val="0"/>
          <w:numId w:val="21"/>
        </w:numPr>
      </w:pPr>
      <w:r>
        <w:t>Codekwaliteit</w:t>
      </w:r>
    </w:p>
    <w:p>
      <w:pPr>
        <w:pStyle w:val="Lijstnummering1"/>
        <w:numPr>
          <w:ilvl w:val="1"/>
          <w:numId w:val="24"/>
        </w:numPr>
      </w:pPr>
      <w:r>
        <w:t>Is de code leesbaar en consistent met onze coding conventions?</w:t>
      </w:r>
    </w:p>
    <w:p>
      <w:pPr>
        <w:pStyle w:val="Lijstnummering1"/>
        <w:numPr>
          <w:ilvl w:val="1"/>
          <w:numId w:val="24"/>
        </w:numPr>
      </w:pPr>
      <w:r>
        <w:t>Zijn er geen duplicaties of onnodige complexiteit?</w:t>
      </w:r>
    </w:p>
    <w:p>
      <w:pPr>
        <w:pStyle w:val="Lijstnummering1"/>
        <w:numPr>
          <w:ilvl w:val="1"/>
          <w:numId w:val="24"/>
        </w:numPr>
      </w:pPr>
      <w:r>
        <w:t>Zijn namen (variabelen, functies, klassen) duidelijk en betekenisvol?</w:t>
      </w:r>
    </w:p>
    <w:p>
      <w:pPr>
        <w:pStyle w:val="Lijstnummering1"/>
        <w:numPr>
          <w:ilvl w:val="0"/>
          <w:numId w:val="21"/>
        </w:numPr>
      </w:pPr>
      <w:r>
        <w:t>Onderhoudbaarheid</w:t>
      </w:r>
    </w:p>
    <w:p>
      <w:pPr>
        <w:pStyle w:val="Lijstnummering1"/>
        <w:numPr>
          <w:ilvl w:val="1"/>
          <w:numId w:val="25"/>
        </w:numPr>
      </w:pPr>
      <w:r>
        <w:t>Is de code goed testbaar? (unit-/integratietesten aanwezig)</w:t>
      </w:r>
    </w:p>
    <w:p>
      <w:pPr>
        <w:pStyle w:val="Lijstnummering1"/>
        <w:numPr>
          <w:ilvl w:val="1"/>
          <w:numId w:val="25"/>
        </w:numPr>
      </w:pPr>
      <w:r>
        <w:t>Is de architectuur en structuur logisch en schaalbaar?</w:t>
      </w:r>
    </w:p>
    <w:p>
      <w:pPr>
        <w:pStyle w:val="Lijstnummering1"/>
        <w:numPr>
          <w:ilvl w:val="0"/>
          <w:numId w:val="21"/>
        </w:numPr>
      </w:pPr>
      <w:r>
        <w:t>Veiligheid en betrouwbaarheid</w:t>
      </w:r>
    </w:p>
    <w:p>
      <w:pPr>
        <w:pStyle w:val="Lijstnummering1"/>
        <w:numPr>
          <w:ilvl w:val="1"/>
          <w:numId w:val="26"/>
        </w:numPr>
      </w:pPr>
      <w:r>
        <w:t>Geen hardcoded secrets of credentials?</w:t>
      </w:r>
    </w:p>
    <w:p>
      <w:pPr>
        <w:pStyle w:val="Lijstnummering1"/>
        <w:numPr>
          <w:ilvl w:val="1"/>
          <w:numId w:val="26"/>
        </w:numPr>
      </w:pPr>
      <w:r>
        <w:t>Inputvalidatie en foutafhandeling correct toegepast?</w:t>
      </w:r>
    </w:p>
    <w:p>
      <w:pPr>
        <w:pStyle w:val="Lijstnummering1"/>
        <w:numPr>
          <w:ilvl w:val="0"/>
          <w:numId w:val="21"/>
        </w:numPr>
      </w:pPr>
      <w:r>
        <w:t>Performance en efficiëntie</w:t>
      </w:r>
    </w:p>
    <w:p>
      <w:pPr>
        <w:pStyle w:val="Lijstnummering1"/>
        <w:numPr>
          <w:ilvl w:val="1"/>
          <w:numId w:val="27"/>
        </w:numPr>
      </w:pPr>
      <w:r>
        <w:t>Zijn er geen onnodig zware operaties?</w:t>
      </w:r>
    </w:p>
    <w:p>
      <w:pPr>
        <w:pStyle w:val="Lijstnummering1"/>
        <w:numPr>
          <w:ilvl w:val="1"/>
          <w:numId w:val="27"/>
        </w:numPr>
      </w:pPr>
      <w:r>
        <w:t>Worden resources efficiënt gebruikt?</w:t>
      </w:r>
    </w:p>
    <w:p>
      <w:pPr>
        <w:pStyle w:val="Lijstnummering1"/>
        <w:numPr>
          <w:ilvl w:val="0"/>
          <w:numId w:val="21"/>
        </w:numPr>
      </w:pPr>
      <w:r>
        <w:t>Overige controles</w:t>
      </w:r>
    </w:p>
    <w:p>
      <w:pPr>
        <w:pStyle w:val="Lijstnummering1"/>
        <w:numPr>
          <w:ilvl w:val="1"/>
          <w:numId w:val="28"/>
        </w:numPr>
      </w:pPr>
      <w:r>
        <w:t>Zijn alle nieuwe en gewijzigde tests geslaagd?</w:t>
      </w:r>
    </w:p>
    <w:p>
      <w:pPr>
        <w:pStyle w:val="Lijstnummering1"/>
        <w:numPr>
          <w:ilvl w:val="1"/>
          <w:numId w:val="28"/>
        </w:numPr>
      </w:pPr>
      <w:r>
        <w:t>Is de documentatie (code comments, README-bestanden, use cases) bijgewerkt?</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9"/>
        </w:numPr>
      </w:pPr>
      <w:r>
        <w:t>snelheid van handelingen en voldoen aan eisen (loadtest)</w:t>
      </w:r>
    </w:p>
    <w:p>
      <w:pPr>
        <w:pStyle w:val="Lijstnummering1"/>
        <w:numPr>
          <w:ilvl w:val="0"/>
          <w:numId w:val="29"/>
        </w:numPr>
      </w:pPr>
      <w:r>
        <w:t>stabiliteit op langere termijn (duurtest)</w:t>
      </w:r>
    </w:p>
    <w:p>
      <w:pPr>
        <w:pStyle w:val="Lijstnummering1"/>
        <w:numPr>
          <w:ilvl w:val="0"/>
          <w:numId w:val="29"/>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rPr>
          <w:color w:val="000000"/>
          <w:highlight w:val="yellow"/>
        </w:rPr>
        <w:t>{Als de performancetestgeving niet representatief is voor de productieomgeving:}</w:t>
      </w:r>
      <w:r>
        <w:t xml:space="preserve"> Omdat de performancetestomgeving niet representatief is voor de productieomgeving, zijn de absolute meetwaardes uit de performancetesten, zoals responsetijden en maximale belastbaarheid, zeer waarschijnlijk niet hetzelfde als die in de productieomgeving zouden worden gemeten. ICTU gebruikt de performancetesten daarom als regressietest: door de meetwaardes van een test te vergelijken met de vorige testrun of een baselinetestrun kunnen veranderingen in de performance vroegtijdig worden opgemerkt.</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en ZAP by Checkmarx.</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pPr>
        <w:pStyle w:val="Kop2"/>
      </w:pPr>
      <w:r>
        <w:t>Usability-testen</w:t>
      </w:r>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Security code review</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 compliancy.</w:t>
      </w:r>
    </w:p>
    <w:p>
      <w:pPr>
        <w:pStyle w:val="Kop2"/>
      </w:pPr>
      <w:r>
        <w:t>Projectspecifieke maatregelen</w:t>
      </w:r>
    </w:p>
    <w:p>
      <w:r>
        <w:rPr>
          <w:color w:val="000000"/>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color w:val="000000"/>
                <w:highlight w:val="yellow"/>
              </w:rPr>
              <w:t>{Nummer}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w:t>
            </w:r>
          </w:p>
        </w:tc>
        <w:tc>
          <w:tcPr>
            <w:tcW w:type="auto" w:w="1814"/>
          </w:tcPr>
          <w:p>
            <w:pPr>
              <w:jc w:val="left"/>
            </w:pPr>
            <w:r>
              <w:rPr>
                <w:color w:val="000000"/>
                <w:highlight w:val="yellow"/>
              </w:rPr>
              <w:t>{voorbeeld: dd/mm/jjjj review MTP, test opgenomen in hoofdstuk x}</w:t>
            </w:r>
          </w:p>
        </w:tc>
      </w:tr>
      <w:tr>
        <w:tc>
          <w:tcPr>
            <w:tcW w:type="auto" w:w="1814"/>
          </w:tcPr>
          <w:p>
            <w:pPr>
              <w:jc w:val="left"/>
            </w:pPr>
            <w:r>
              <w:rPr>
                <w:color w:val="000000"/>
                <w:highlight w:val="yellow"/>
              </w:rPr>
              <w:t>{Nummer}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{Controle}</w:t>
            </w:r>
          </w:p>
        </w:tc>
        <w:tc>
          <w:tcPr>
            <w:tcW w:type="auto" w:w="1814"/>
          </w:tcPr>
          <w:p>
            <w:pPr>
              <w:jc w:val="left"/>
            </w:pPr>
            <w:r>
              <w:rPr>
                <w:color w:val="000000"/>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0">
              <w:r>
                <w:rPr>
                  <w:rStyle w:val="Hyperlink"/>
                </w:rPr>
                <w:t>BIO</w:t>
              </w:r>
            </w:hyperlink>
          </w:p>
        </w:tc>
        <w:tc>
          <w:tcPr>
            <w:tcW w:type="auto" w:w="4535"/>
          </w:tcPr>
          <w:p>
            <w:pPr>
              <w:jc w:val="left"/>
            </w:pPr>
            <w:r>
              <w:t>Baseline Informatiebeveiliging Overheid.</w:t>
            </w:r>
          </w:p>
        </w:tc>
      </w:tr>
      <w:tr>
        <w:tc>
          <w:tcPr>
            <w:tcW w:type="auto" w:w="4535"/>
          </w:tcPr>
          <w:p>
            <w:pPr>
              <w:jc w:val="left"/>
            </w:pPr>
            <w:hyperlink r:id="rId21">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2">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6">
              <w:r>
                <w:rPr>
                  <w:rStyle w:val="Hyperlink"/>
                </w:rPr>
                <w:t>NEN 7510-2:2024</w:t>
              </w:r>
            </w:hyperlink>
          </w:p>
        </w:tc>
        <w:tc>
          <w:tcPr>
            <w:tcW w:type="auto" w:w="4535"/>
          </w:tcPr>
          <w:p>
            <w:pPr>
              <w:jc w:val="left"/>
            </w:pPr>
          </w:p>
        </w:tc>
      </w:tr>
      <w:tr>
        <w:tc>
          <w:tcPr>
            <w:tcW w:type="auto" w:w="4535"/>
          </w:tcPr>
          <w:p>
            <w:pPr>
              <w:jc w:val="left"/>
            </w:pPr>
            <w:hyperlink r:id="rId2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0">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1">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2">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3">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4">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5">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30"/>
        </w:numPr>
      </w:pPr>
      <w:r>
        <w:t>Opdrachtgevende organisaties helpen bekende risico's bij softwareontwikkeling, zoals technische schuld, vertraging en defecten, zo veel mogelijk te voorkomen.</w:t>
      </w:r>
    </w:p>
    <w:p>
      <w:pPr>
        <w:pStyle w:val="Lijstnummering1"/>
        <w:numPr>
          <w:ilvl w:val="0"/>
          <w:numId w:val="30"/>
        </w:numPr>
      </w:pPr>
      <w:r>
        <w:t>ICTU helpen om software te ontwikkelen die de missie van ICTU, namelijk bijdragen aan een betere digitale overheid, ondersteunt.</w:t>
      </w:r>
    </w:p>
    <w:p>
      <w:pPr>
        <w:pStyle w:val="Lijstnummering1"/>
        <w:numPr>
          <w:ilvl w:val="0"/>
          <w:numId w:val="3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Verificatie realisatie niet-functionele eisen</w:t>
            </w:r>
          </w:p>
        </w:tc>
        <w:tc>
          <w:tcPr>
            <w:tcW w:type="auto" w:w="3023"/>
          </w:tcPr>
          <w:p>
            <w:pPr>
              <w:jc w:val="left"/>
            </w:pPr>
            <w:r>
              <w:t>Niet-functionele eisen</w:t>
            </w:r>
          </w:p>
        </w:tc>
        <w:tc>
          <w:tcPr>
            <w:tcW w:type="auto" w:w="3023"/>
          </w:tcPr>
          <w:p>
            <w:pPr>
              <w:jc w:val="left"/>
            </w:pPr>
            <w:r>
              <w:t>Verificatie van aan ICTU toegewezen niet-functionele eisen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1">
      <w:startOverride w:val="1"/>
    </w:lvlOverride>
  </w:num>
  <w:num w:numId="23">
    <w:abstractNumId w:val="0"/>
    <w:lvlOverride w:ilvl="1">
      <w:startOverride w:val="1"/>
    </w:lvlOverride>
  </w:num>
  <w:num w:numId="24">
    <w:abstractNumId w:val="0"/>
    <w:lvlOverride w:ilvl="1">
      <w:startOverride w:val="1"/>
    </w:lvlOverride>
  </w:num>
  <w:num w:numId="25">
    <w:abstractNumId w:val="0"/>
    <w:lvlOverride w:ilvl="1">
      <w:startOverride w:val="1"/>
    </w:lvlOverride>
  </w:num>
  <w:num w:numId="26">
    <w:abstractNumId w:val="0"/>
    <w:lvlOverride w:ilvl="1">
      <w:startOverride w:val="1"/>
    </w:lvlOverride>
  </w:num>
  <w:num w:numId="27">
    <w:abstractNumId w:val="0"/>
    <w:lvlOverride w:ilvl="1">
      <w:startOverride w:val="1"/>
    </w:lvlOverride>
  </w:num>
  <w:num w:numId="28">
    <w:abstractNumId w:val="0"/>
    <w:lvlOverride w:ilvl="1">
      <w:startOverride w:val="1"/>
    </w:lvlOverride>
  </w:num>
  <w:num w:numId="29">
    <w:abstractNumId w:val="0"/>
    <w:lvlOverride w:ilvl="0">
      <w:startOverride w:val="1"/>
    </w:lvlOverride>
  </w:num>
  <w:num w:numId="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xp123.com/invest-in-good-stories-and-smart-tasks/" TargetMode="External"/><Relationship Id="rId18" Type="http://schemas.openxmlformats.org/officeDocument/2006/relationships/hyperlink" Target="https://quality-time.readthedocs.io/en/latest/reference.html#metrics" TargetMode="External"/><Relationship Id="rId19" Type="http://schemas.openxmlformats.org/officeDocument/2006/relationships/hyperlink" Target="https://peps.python.org/pep-0008/" TargetMode="External"/><Relationship Id="rId20" Type="http://schemas.openxmlformats.org/officeDocument/2006/relationships/hyperlink" Target="https://bio-overheid.nl/media/1572/bio-versie-104zv_def.pdf" TargetMode="External"/><Relationship Id="rId21" Type="http://schemas.openxmlformats.org/officeDocument/2006/relationships/hyperlink" Target="https://www.iso.org/standard/77520.html" TargetMode="External"/><Relationship Id="rId22" Type="http://schemas.openxmlformats.org/officeDocument/2006/relationships/hyperlink" Target="https://www.ncsc.nl/documenten/publicaties/2019/mei/01/ict-beveiligingsrichtlijnen-voor-webapplicaties" TargetMode="External"/><Relationship Id="rId23" Type="http://schemas.openxmlformats.org/officeDocument/2006/relationships/hyperlink" Target="https://www.nen.nl/nen-iso-iec-25010-2023-en-318088" TargetMode="External"/><Relationship Id="rId24" Type="http://schemas.openxmlformats.org/officeDocument/2006/relationships/hyperlink" Target="https://www.nen.nl/nen-en-iso-iec-27001-2023-nl-314206" TargetMode="External"/><Relationship Id="rId25" Type="http://schemas.openxmlformats.org/officeDocument/2006/relationships/hyperlink" Target="https://www.nen.nl/nen-en-iso-iec-27002-2022-nl-304509" TargetMode="External"/><Relationship Id="rId26" Type="http://schemas.openxmlformats.org/officeDocument/2006/relationships/hyperlink" Target="https://www.nen.nl/nen-7510-2-2024-nl-331314" TargetMode="External"/><Relationship Id="rId27" Type="http://schemas.openxmlformats.org/officeDocument/2006/relationships/hyperlink" Target="https://www.nen.nl/npr-5325-2017-nl-238298" TargetMode="External"/><Relationship Id="rId28" Type="http://schemas.openxmlformats.org/officeDocument/2006/relationships/hyperlink" Target="https://www.nen.nl/npr-5326-2019-nl-262885" TargetMode="External"/><Relationship Id="rId29" Type="http://schemas.openxmlformats.org/officeDocument/2006/relationships/hyperlink" Target="https://www.noraonline.nl" TargetMode="External"/><Relationship Id="rId30" Type="http://schemas.openxmlformats.org/officeDocument/2006/relationships/hyperlink" Target="https://owasp.org/www-project-top-ten/" TargetMode="External"/><Relationship Id="rId31" Type="http://schemas.openxmlformats.org/officeDocument/2006/relationships/hyperlink" Target="https://scrumguides.org/docs/scrumguide/v2020/2020-Scrum-Guide-Dutch.pdf" TargetMode="External"/><Relationship Id="rId32" Type="http://schemas.openxmlformats.org/officeDocument/2006/relationships/hyperlink" Target="https://wetten.overheid.nl/BWBR0022141/2007-07-01" TargetMode="External"/><Relationship Id="rId33" Type="http://schemas.openxmlformats.org/officeDocument/2006/relationships/hyperlink" Target="https://wetten.overheid.nl/BWBR0033507/2013-06-01" TargetMode="External"/><Relationship Id="rId34" Type="http://schemas.openxmlformats.org/officeDocument/2006/relationships/hyperlink" Target="https://wetten.overheid.nl/BWBR0041515/2024-10-01/0" TargetMode="External"/><Relationship Id="rId35" Type="http://schemas.openxmlformats.org/officeDocument/2006/relationships/hyperlink" Target="https://www.tweedekamer.nl/sites/default/files/field_uploads/33326-5-Eindrapport_tcm181-239826.pdf" TargetMode="External"/><Relationship Id="rId36"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