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Voorfase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deze doelen te realiseren, ontwikkelt ICTU in samenwerking met </w:t>
      </w:r>
      <w:r>
        <w:rPr>
          <w:color w:val="000000"/>
          <w:highlight w:val="yellow"/>
        </w:rPr>
        <w:t>{partijen}</w:t>
      </w:r>
      <w:r>
        <w:t xml:space="preserve"> een aantal producten, zie voor een beschrijving hiervan het hoofdstuk "Projectresultaat". Dit plan van aanpak beschrijft verder de planning van en werkwijze tijdens de voorfase.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color w:val="000000"/>
          <w:highlight w:val="yellow"/>
        </w:rPr>
        <w:t>{partijen}</w:t>
      </w:r>
      <w:r>
        <w:t xml:space="preserve">, waarbij ICTU zo goed mogelijk gebruik maakt van de bij deze partijen aanwezige kennis en producten. Dit vraagt, naast de inspanning van ICTU, ook substantiële inzet van medewerkers van </w:t>
      </w:r>
      <w:r>
        <w:rPr>
          <w:color w:val="000000"/>
          <w:highlight w:val="yellow"/>
        </w:rPr>
        <w:t>{partijen}</w:t>
      </w:r>
      <w:r>
        <w:t>; zie hiervoor het hoofdstuk "Werkwijze".</w:t>
      </w:r>
    </w:p>
    <w:p>
      <w:r>
        <w:rPr>
          <w:color w:val="000000"/>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pPr>
        <w:pStyle w:val="Kop2"/>
      </w:pPr>
      <w:r>
        <w:t>Kaders</w:t>
      </w:r>
    </w:p>
    <w:p>
      <w:r>
        <w:t xml:space="preserve">De volgende kaders zijn van toepassing op het softwareontwikkelingsproces. Merk op dat kaders die van toepassing zijn op het tijdens de realisatiefase te realiseren </w:t>
      </w:r>
      <w:r>
        <w:rPr>
          <w:i/>
        </w:rPr>
        <w:t>product</w:t>
      </w:r>
      <w:r>
        <w:t xml:space="preserve"> opgenomen zijn en/of worden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Dit plan van aanpak is gebaseerd op de volgende documenten </w:t>
      </w:r>
      <w:r>
        <w:rPr>
          <w:color w:val="000000"/>
          <w:highlight w:val="yellow"/>
        </w:rPr>
        <w:t>{pas aan en breid uit waar nodig}</w:t>
      </w:r>
      <w:r>
        <w:t>:</w:t>
      </w:r>
    </w:p>
    <w:p>
      <w:pPr>
        <w:pStyle w:val="Lijstopsomteken1"/>
        <w:numPr>
          <w:ilvl w:val="0"/>
        </w:numPr>
      </w:pPr>
      <w:r>
        <w:t xml:space="preserve">Projectstartarchitectuur (PSA), versie </w:t>
      </w:r>
      <w:r>
        <w:rPr>
          <w:color w:val="000000"/>
          <w:highlight w:val="yellow"/>
        </w:rPr>
        <w:t>{versie}</w:t>
      </w:r>
      <w:r>
        <w:t>,</w:t>
      </w:r>
    </w:p>
    <w:p>
      <w:pPr>
        <w:pStyle w:val="Lijstopsomteken1"/>
        <w:numPr>
          <w:ilvl w:val="0"/>
        </w:numPr>
      </w:pPr>
      <w:r>
        <w:t xml:space="preserve">Business impact analyse (BIA), versie </w:t>
      </w:r>
      <w:r>
        <w:rPr>
          <w:color w:val="000000"/>
          <w:highlight w:val="yellow"/>
        </w:rPr>
        <w:t>{versie}</w:t>
      </w:r>
      <w:r>
        <w:t>,</w:t>
      </w:r>
    </w:p>
    <w:p>
      <w:pPr>
        <w:pStyle w:val="Lijstopsomteken1"/>
        <w:numPr>
          <w:ilvl w:val="0"/>
        </w:numPr>
      </w:pPr>
      <w:r>
        <w:t xml:space="preserve">Privacy impact assessment (PIA), versie </w:t>
      </w:r>
      <w:r>
        <w:rPr>
          <w:color w:val="000000"/>
          <w:highlight w:val="yellow"/>
        </w:rPr>
        <w:t>{versie}</w:t>
      </w:r>
      <w:r>
        <w:t>.</w:t>
      </w:r>
    </w:p>
    <w:p>
      <w:pPr>
        <w:pStyle w:val="Kop2"/>
      </w:pPr>
      <w:r>
        <w:t>Leeswijzer</w:t>
      </w:r>
    </w:p>
    <w:p>
      <w:r>
        <w:t xml:space="preserve">Hoofdstuk 2 beschrijft de in de voorfase op te leveren producten. In hoofdstuk 3 staat de werkwijze voor de voorfase. Hoofdstuk 4 beschrijft de planning en doorlooptijd van het project. Hoofdstuk 5 geeft de randvoorwaarden die ingevuld dienen te zijn bij de start van voorfase. Hoofdstuk 6 beschrijft de bekende projectrisico's en de getroffen tegenmaatregelen. Hoofdstuk 7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Om tot </w:t>
      </w:r>
      <w:r>
        <w:rPr>
          <w:color w:val="000000"/>
          <w:highlight w:val="yellow"/>
        </w:rPr>
        <w:t>{projectresultaat}</w:t>
      </w:r>
      <w:r>
        <w:t xml:space="preserve"> te komen, levert ICTU in samenwerking met </w:t>
      </w:r>
      <w:r>
        <w:rPr>
          <w:color w:val="000000"/>
          <w:highlight w:val="yellow"/>
        </w:rPr>
        <w:t>{partijen}</w:t>
      </w:r>
      <w:r>
        <w:t xml:space="preserve"> een aantal producten. Deze worden in dit hoofdstuk uitgewerkt. De producten komen tot stand door middel van een agile aanpak met een doorlooptijd van </w:t>
      </w:r>
      <w:r>
        <w:rPr>
          <w:color w:val="000000"/>
          <w:highlight w:val="yellow"/>
        </w:rPr>
        <w:t>{doorloop}</w:t>
      </w:r>
      <w:r>
        <w:t xml:space="preserve"> weken, waarbij ICTU het proces rondom het opstellen van de producten faciliteert; zie hiervoor het hoofdstuk “Werkwijze”.</w:t>
      </w:r>
    </w:p>
    <w:p>
      <w:pPr>
        <w:pStyle w:val="Kop2"/>
      </w:pPr>
      <w:r>
        <w:t>Producten</w:t>
      </w:r>
    </w:p>
    <w:p>
      <w:r>
        <w:t xml:space="preserve">In de voorfase worden de volgende producten gerealiseerd op basis van </w:t>
      </w:r>
      <w:r>
        <w:rPr>
          <w:color w:val="000000"/>
          <w:highlight w:val="yellow"/>
        </w:rPr>
        <w:t>{bronnen, zoals PSA, BIA en PIA, indien beschikbaar}</w:t>
      </w:r>
      <w:r>
        <w:t>:</w:t>
      </w:r>
    </w:p>
    <w:p>
      <w:r>
        <w:rPr>
          <w:color w:val="000000"/>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Business impact analyse (BIA)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Privacy impact assessment (PIA)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Globaal functioneel ontwerp (GFO)</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Interactie-ontwerp (UX)</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Softwarearchitectuurdocument (SAD)</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Infrastructuurarchitectuur (IA)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Product risico analyse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Mastertestplan (op basis van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Detailtestplan softwarerealisatie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Threat &amp; vulnerability assessment (TVA)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Informatiebeveiligingsplan (IB-plan)</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Niet-functionele eisen (NFE)</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Kwaliteitsplan</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Product backlog</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Vastgesteld minimal viable product</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Wireframe, mockup, prototype, animatie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Rapportage t.b.v. go/no-go besluit</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color w:val="000000"/>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color w:val="000000"/>
          <w:highlight w:val="yellow"/>
        </w:rPr>
        <w:t xml:space="preserve">{Tip: Gebruik bovenstaand overzicht in de sprints van de voorfase om de voortgang van de te realiseren producten te bewaken. Zie </w:t>
      </w:r>
      <w:hyperlink r:id="rId16">
        <w:r>
          <w:rPr>
            <w:rStyle w:val="Hyperlink"/>
          </w:rPr>
          <w:t>Template plan van aanpak voorfase producten</w:t>
        </w:r>
      </w:hyperlink>
      <w:r>
        <w:rPr>
          <w:color w:val="000000"/>
          <w:highlight w:val="yellow"/>
        </w:rPr>
        <w:t>.}</w:t>
      </w:r>
    </w:p>
    <w:p>
      <w:pPr>
        <w:pStyle w:val="Kop2"/>
      </w:pPr>
      <w:r>
        <w:t>Scope</w:t>
      </w:r>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pPr>
        <w:pStyle w:val="Kop1"/>
      </w:pPr>
      <w:r>
        <w:t>Werkwijze</w:t>
      </w:r>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{opdrachtgever}</w:t>
      </w:r>
      <w:r>
        <w:t xml:space="preserve"> gemonitord worden.</w:t>
      </w:r>
    </w:p>
    <w:p>
      <w:r>
        <w:t>Tijdens dit project wordt zoveel mogelijk agile gewerkt volgens de Scrum-aanpak. Dit vertaalt zich concreet in:</w:t>
      </w:r>
    </w:p>
    <w:p>
      <w:pPr>
        <w:pStyle w:val="Lijstopsomteken1"/>
        <w:numPr>
          <w:ilvl w:val="0"/>
        </w:numPr>
      </w:pPr>
      <w:r>
        <w:t xml:space="preserve">Eén Scrumteam met medewerkers van </w:t>
      </w:r>
      <w:r>
        <w:rPr>
          <w:color w:val="000000"/>
          <w:highlight w:val="yellow"/>
        </w:rPr>
        <w:t>{opdrachtgevende organisatie}</w:t>
      </w:r>
      <w:r>
        <w:t xml:space="preserve"> en </w:t>
      </w:r>
      <w:r>
        <w:rPr>
          <w:color w:val="000000"/>
          <w:highlight w:val="yellow"/>
        </w:rPr>
        <w:t>{partijen}</w:t>
      </w:r>
      <w:r>
        <w:t xml:space="preserve"> en ICTU werkt minimaal </w:t>
      </w:r>
      <w:r>
        <w:rPr>
          <w:color w:val="000000"/>
          <w:highlight w:val="yellow"/>
        </w:rPr>
        <w:t>{aantal}</w:t>
      </w:r>
      <w:r>
        <w:t xml:space="preserve"> dagdelen per week aan de gedefinieerde documenten.</w:t>
      </w:r>
    </w:p>
    <w:p>
      <w:pPr>
        <w:pStyle w:val="Lijstopsomteken1"/>
        <w:numPr>
          <w:ilvl w:val="0"/>
        </w:numPr>
      </w:pPr>
      <w:r>
        <w:t xml:space="preserve">Er is een product owner door </w:t>
      </w:r>
      <w:r>
        <w:rPr>
          <w:color w:val="000000"/>
          <w:highlight w:val="yellow"/>
        </w:rPr>
        <w:t>{opdrachtgevende organisatie}</w:t>
      </w:r>
      <w:r>
        <w:t xml:space="preserve"> aangesteld die de uiteindelijke inhoudelijke keuzes maakt.</w:t>
      </w:r>
    </w:p>
    <w:p>
      <w:pPr>
        <w:pStyle w:val="Lijstopsomteken1"/>
        <w:numPr>
          <w:ilvl w:val="0"/>
        </w:numPr>
      </w:pPr>
      <w:r>
        <w:t>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0"/>
        </w:numPr>
      </w:pPr>
      <w:r>
        <w:t xml:space="preserve">Nieuwe tussentijdse versies van documenten worden kortcyclisch opgeleverd, elke </w:t>
      </w:r>
      <w:r>
        <w:rPr>
          <w:color w:val="000000"/>
          <w:highlight w:val="yellow"/>
        </w:rPr>
        <w:t>{termijn}</w:t>
      </w:r>
      <w:r>
        <w:t>.</w:t>
      </w:r>
    </w:p>
    <w:p>
      <w:pPr>
        <w:pStyle w:val="Lijstopsomteken1"/>
        <w:numPr>
          <w:ilvl w:val="0"/>
        </w:numPr>
      </w:pPr>
      <w:r>
        <w:t xml:space="preserve">Alle tussentijdse versies worden gereviewd door </w:t>
      </w:r>
      <w:r>
        <w:rPr>
          <w:color w:val="000000"/>
          <w:highlight w:val="yellow"/>
        </w:rPr>
        <w:t>{reviewers}</w:t>
      </w:r>
      <w:r>
        <w:t xml:space="preserve"> binnen de afgesproken termijn (maximaal </w:t>
      </w:r>
      <w:r>
        <w:rPr>
          <w:color w:val="000000"/>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color w:val="000000"/>
          <w:highlight w:val="yellow"/>
        </w:rPr>
        <w:t>{functionaliteit, (gebruiks)kwaliteit, architectuur, techniek en veiligheid}</w:t>
      </w:r>
      <w:r>
        <w:t xml:space="preserve"> organiseert ICTU werksessies.</w:t>
      </w:r>
    </w:p>
    <w:p>
      <w:pPr>
        <w:pStyle w:val="Kop2"/>
      </w:pPr>
      <w:r>
        <w:t>Werving</w:t>
      </w:r>
    </w:p>
    <w:p>
      <w:r>
        <w:t xml:space="preserve">Direct na de opdrachtverstrekking start ICTU met de bemensing van het project ten behoeve van de voorfase. </w:t>
      </w:r>
      <w:r>
        <w:rPr>
          <w:color w:val="000000"/>
          <w:highlight w:val="yellow"/>
        </w:rPr>
        <w:t>{Beschrijf de eventueel te werven functies}</w:t>
      </w:r>
    </w:p>
    <w:p>
      <w:pPr>
        <w:pStyle w:val="Kop2"/>
      </w:pPr>
      <w:r>
        <w:t>Kick-off</w:t>
      </w:r>
    </w:p>
    <w:p>
      <w:r>
        <w:t>Voor een goede start wordt er, bij aanvang van de voorfase, een kick-off georganiseerd met alle projectmedewerkers, beoogde stuurgroepleden en de opdrachtgever. Na opdrachtverstrekking zal de projectleider van ICTU de kick-off plannen.</w:t>
      </w:r>
    </w:p>
    <w:p>
      <w:pPr>
        <w:pStyle w:val="Kop2"/>
      </w:pPr>
      <w:r>
        <w:t>Samenwerking</w:t>
      </w:r>
    </w:p>
    <w:p>
      <w:r>
        <w:rPr>
          <w:color w:val="000000"/>
          <w:highlight w:val="yellow"/>
        </w:rPr>
        <w:t>{opdrachtgevende organisatie}</w:t>
      </w:r>
      <w:r>
        <w:t xml:space="preserve"> en </w:t>
      </w:r>
      <w:r>
        <w:rPr>
          <w:color w:val="000000"/>
          <w:highlight w:val="yellow"/>
        </w:rPr>
        <w:t>{partijen}</w:t>
      </w:r>
      <w:r>
        <w:t xml:space="preserve"> en ICTU werken gezamenlijk aan de op te leveren documenten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producten</w:t>
      </w:r>
    </w:p>
    <w:p>
      <w:r>
        <w:t xml:space="preserve">De voorfase is op basis van sprints ingericht. Aan het einde van elke sprint zijn alle tot dan toe opgedane inzichten verwerkt in de producten. Na de laatste sprint levert ICTU het geheel op aan </w:t>
      </w:r>
      <w:r>
        <w:rPr>
          <w:color w:val="000000"/>
          <w:highlight w:val="yellow"/>
        </w:rPr>
        <w:t>{opdrachtgevende organisatie}</w:t>
      </w:r>
      <w:r>
        <w:t>.</w:t>
      </w:r>
    </w:p>
    <w:p>
      <w:pPr>
        <w:pStyle w:val="Kop2"/>
      </w:pPr>
      <w:r>
        <w:t>Kwaliteitsbeheersing</w:t>
      </w:r>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0"/>
        </w:numPr>
      </w:pPr>
      <w:r>
        <w:t>heldere structuur en onderlinge samenhang van de documenten;</w:t>
      </w:r>
    </w:p>
    <w:p>
      <w:pPr>
        <w:pStyle w:val="Lijstopsomteken1"/>
        <w:numPr>
          <w:ilvl w:val="0"/>
        </w:numPr>
      </w:pPr>
      <w:r>
        <w:t>“fitness for use” van de producten; Dit betekent dat deze producten geschikt zijn om een Scrumontwikkeltraject te starten en te sturen;</w:t>
      </w:r>
    </w:p>
    <w:p>
      <w:pPr>
        <w:pStyle w:val="Lijstopsomteken1"/>
        <w:numPr>
          <w:ilvl w:val="0"/>
        </w:numPr>
      </w:pPr>
      <w:r>
        <w:t>interne en onderlinge consistentie;</w:t>
      </w:r>
    </w:p>
    <w:p>
      <w:pPr>
        <w:pStyle w:val="Lijstopsomteken1"/>
        <w:numPr>
          <w:ilvl w:val="0"/>
        </w:numPr>
      </w:pPr>
      <w:r>
        <w:t>volledigheid.</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 xml:space="preserve">De producten worden opgesteld tijdens verschillende werksessies. Aanwezigheid bij de werksessies (welke zoveel mogelijk tijdens de dagdelen waarop </w:t>
      </w:r>
      <w:r>
        <w:rPr>
          <w:color w:val="000000"/>
          <w:highlight w:val="yellow"/>
        </w:rPr>
        <w:t>{opdrachtgevende organisatie}</w:t>
      </w:r>
      <w:r>
        <w:t xml:space="preserve"> en </w:t>
      </w:r>
      <w:r>
        <w:rPr>
          <w:color w:val="000000"/>
          <w:highlight w:val="yellow"/>
        </w:rPr>
        <w:t>{partijen}</w:t>
      </w:r>
      <w:r>
        <w:t xml:space="preserve"> en ICTU samenwerken worden gepland) en indien gewenst aan vervolgafspraken in dat kader;</w:t>
      </w:r>
    </w:p>
    <w:p>
      <w:pPr>
        <w:pStyle w:val="Lijstopsomteken1"/>
        <w:numPr>
          <w:ilvl w:val="0"/>
        </w:numPr>
      </w:pPr>
      <w:r>
        <w:t>Actief bijdragen aan het schrijven en reviewen van de producten;</w:t>
      </w:r>
    </w:p>
    <w:p>
      <w:pPr>
        <w:pStyle w:val="Lijstopsomteken1"/>
        <w:numPr>
          <w:ilvl w:val="0"/>
        </w:numPr>
      </w:pPr>
      <w:r>
        <w:t>Buiten de workshops uitzoeken van onduidelijkheden en binnen de eigen organisatie(s) op zoek gaan naar antwoorden.</w:t>
      </w:r>
    </w:p>
    <w:p>
      <w:r>
        <w:t xml:space="preserve">Onderstaand is de verwachte inzet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 xml:space="preserve">Uitvoeren TVA, opstellen BIA en IB-plan,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 xml:space="preserve">Opstellen PIA, reviewen </w:t>
            </w:r>
            <w:r>
              <w:rPr>
                <w:color w:val="000000"/>
                <w:highlight w:val="yellow"/>
              </w:rPr>
              <w:t>{documenten}</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Inhoudelijk sturing / prioritering, opstellen product backlog, NFE, minimal viable product, reviewen GFO en prototype</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color w:val="000000"/>
                <w:highlight w:val="yellow"/>
              </w:rPr>
              <w:t>{beheerorganisatie}</w:t>
            </w:r>
            <w:r>
              <w:t>)</w:t>
            </w:r>
          </w:p>
        </w:tc>
        <w:tc>
          <w:tcPr>
            <w:tcW w:type="auto" w:w="3023"/>
          </w:tcPr>
          <w:p>
            <w:pPr>
              <w:jc w:val="left"/>
            </w:pPr>
            <w:r>
              <w:rPr>
                <w:color w:val="000000"/>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Projectafsluiting</w:t>
      </w:r>
    </w:p>
    <w:p>
      <w:r>
        <w:t>Omdat ICTU tijdens het project de documenten regelmatig oplevert is er geen speciale eindoplevering nodig. ICTU archiveert de documenten op Sharepoint met een bewaartermijn van vijf jaar.</w:t>
      </w:r>
    </w:p>
    <w:p>
      <w:pPr>
        <w:pStyle w:val="Kop1"/>
      </w:pPr>
      <w:r>
        <w:t>Planning</w:t>
      </w:r>
    </w:p>
    <w:p>
      <w:r>
        <w:rPr>
          <w:color w:val="000000"/>
          <w:highlight w:val="yellow"/>
        </w:rPr>
        <w:t>{Verwijs naar dit hoofdstuk in hoofdstuk 5 van het voorstel inclusief POK}</w:t>
      </w:r>
    </w:p>
    <w:p>
      <w:r>
        <w:t xml:space="preserve">De start van het project vindt uiterlijk </w:t>
      </w:r>
      <w:r>
        <w:rPr>
          <w:color w:val="000000"/>
          <w:highlight w:val="yellow"/>
        </w:rPr>
        <w:t>{aantal}</w:t>
      </w:r>
      <w:r>
        <w:t xml:space="preserve"> weken na ondertekening van het eveneens verstuurde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color w:val="000000"/>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pPr>
        <w:pStyle w:val="Kop1"/>
      </w:pPr>
      <w:r>
        <w:t>Randvoorwaarden</w:t>
      </w:r>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color w:val="000000"/>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voorfase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Betrokken partijen communiceren onvoldoende over het beoogde projectresultaat, waardoor verwachtingen uit elkaar lopen. Gevolg is dat partijen geen overeenstemming bereiken over de scope van de realisatiefase.</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PSA is niet gereed bij de start van de voorfase. Hierdoor is de scope niet helder en kan de voorfase niet tijdig worden afgerond.</w:t>
            </w:r>
          </w:p>
        </w:tc>
        <w:tc>
          <w:tcPr>
            <w:tcW w:type="auto" w:w="4535"/>
          </w:tcPr>
          <w:p>
            <w:pPr>
              <w:jc w:val="left"/>
            </w:pPr>
            <w:r>
              <w:t>PSA laten goedkeuren door architectuurboard voor de start van de voorfase.</w:t>
            </w:r>
          </w:p>
        </w:tc>
      </w:tr>
      <w:tr>
        <w:tc>
          <w:tcPr>
            <w:tcW w:type="auto" w:w="4535"/>
          </w:tcPr>
          <w:p>
            <w:pPr>
              <w:jc w:val="left"/>
            </w:pPr>
            <w:r>
              <w:t>Diverse vertegenwoordigers van de opdrachtgever zijn niet beschikbaar vanwege een voorgenomen reorganisatie. Inhoudelijke vragen van het voorfaseteam worden hierdoor niet tijdig beantwoord.</w:t>
            </w:r>
          </w:p>
        </w:tc>
        <w:tc>
          <w:tcPr>
            <w:tcW w:type="auto" w:w="4535"/>
          </w:tcPr>
          <w:p>
            <w:pPr>
              <w:jc w:val="left"/>
            </w:pPr>
            <w:r>
              <w:t>Voor de voorfase controleren of alle genoemde vertegenwoordigers volgens plannning beschikbaar zijn. Achtervang organiseren.</w:t>
            </w:r>
          </w:p>
        </w:tc>
      </w:tr>
      <w:tr>
        <w:tc>
          <w:tcPr>
            <w:tcW w:type="auto" w:w="4535"/>
          </w:tcPr>
          <w:p>
            <w:pPr>
              <w:jc w:val="left"/>
            </w:pPr>
            <w:r>
              <w:rPr>
                <w:color w:val="000000"/>
                <w:highlight w:val="yellow"/>
              </w:rPr>
              <w:t>{risico}</w:t>
            </w:r>
          </w:p>
        </w:tc>
        <w:tc>
          <w:tcPr>
            <w:tcW w:type="auto" w:w="4535"/>
          </w:tcPr>
          <w:p>
            <w:pPr>
              <w:jc w:val="left"/>
            </w:pPr>
            <w:r>
              <w:rPr>
                <w:color w:val="000000"/>
                <w:highlight w:val="yellow"/>
              </w:rPr>
              <w:t>{maatregel}</w:t>
            </w: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 xml:space="preserve">Penvoerder SAD, reviewen </w:t>
            </w:r>
            <w:r>
              <w:rPr>
                <w:color w:val="000000"/>
                <w:highlight w:val="yellow"/>
              </w:rPr>
              <w:t>{documenten}</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 xml:space="preserve">Penvoerder GFO, reviewen </w:t>
            </w:r>
            <w:r>
              <w:rPr>
                <w:color w:val="000000"/>
                <w:highlight w:val="yellow"/>
              </w:rPr>
              <w:t>{documenten}</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 xml:space="preserve">Opstellen logisch datamodel en fysiek database ontwerp, reviewen </w:t>
            </w:r>
            <w:r>
              <w:rPr>
                <w:color w:val="000000"/>
                <w:highlight w:val="yellow"/>
              </w:rPr>
              <w:t>{documenten}</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opstellen UX-richtlijnen, maken prototype </w:t>
            </w:r>
            <w:r>
              <w:rPr>
                <w:color w:val="000000"/>
                <w:highlight w:val="yellow"/>
              </w:rPr>
              <w:t>{of wireframe/mockup/animatie}</w:t>
            </w:r>
            <w:r>
              <w:t xml:space="preserve">, reviewen </w:t>
            </w:r>
            <w:r>
              <w:rPr>
                <w:color w:val="000000"/>
                <w:highlight w:val="yellow"/>
              </w:rPr>
              <w:t>{documenten}</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Privacy 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Testmanager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detailtestplan softwarerealisatie, reviewen </w:t>
            </w:r>
            <w:r>
              <w:rPr>
                <w:color w:val="000000"/>
                <w:highlight w:val="yellow"/>
              </w:rPr>
              <w:t>{documenten}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kwaliteitsplan, reviewen </w:t>
            </w:r>
            <w:r>
              <w:rPr>
                <w:color w:val="000000"/>
                <w:highlight w:val="yellow"/>
              </w:rPr>
              <w:t>{documenten}</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 xml:space="preserve">Opstellen plan van aanpak voorfase en plan van aanpak realisatiefase, reviewen </w:t>
            </w:r>
            <w:r>
              <w:rPr>
                <w:color w:val="000000"/>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color w:val="000000"/>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7">
              <w:r>
                <w:rPr>
                  <w:rStyle w:val="Hyperlink"/>
                </w:rPr>
                <w:t>BIO</w:t>
              </w:r>
            </w:hyperlink>
          </w:p>
        </w:tc>
        <w:tc>
          <w:tcPr>
            <w:tcW w:type="auto" w:w="4535"/>
          </w:tcPr>
          <w:p>
            <w:pPr>
              <w:jc w:val="left"/>
            </w:pPr>
            <w:r>
              <w:t>Baseline Informatiebeveiliging Overheid.</w:t>
            </w:r>
          </w:p>
        </w:tc>
      </w:tr>
      <w:tr>
        <w:tc>
          <w:tcPr>
            <w:tcW w:type="auto" w:w="4535"/>
          </w:tcPr>
          <w:p>
            <w:pPr>
              <w:jc w:val="left"/>
            </w:pPr>
            <w:hyperlink r:id="rId1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3">
              <w:r>
                <w:rPr>
                  <w:rStyle w:val="Hyperlink"/>
                </w:rPr>
                <w:t>NEN 7510:2017</w:t>
              </w:r>
            </w:hyperlink>
          </w:p>
        </w:tc>
        <w:tc>
          <w:tcPr>
            <w:tcW w:type="auto" w:w="4535"/>
          </w:tcPr>
          <w:p>
            <w:pPr>
              <w:jc w:val="left"/>
            </w:pPr>
            <w:r>
              <w:t>Informatiebeveiliging in de zorg.</w:t>
            </w:r>
          </w:p>
        </w:tc>
      </w:tr>
      <w:tr>
        <w:tc>
          <w:tcPr>
            <w:tcW w:type="auto" w:w="4535"/>
          </w:tcPr>
          <w:p>
            <w:pPr>
              <w:jc w:val="left"/>
            </w:pPr>
            <w:hyperlink r:id="rId2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ictu.github.io/Kwaliteitsaanpak/wip/ICTU-Template-Plan-van-Aanpak-Voorfase-Producten.xlsx" TargetMode="External"/><Relationship Id="rId17" Type="http://schemas.openxmlformats.org/officeDocument/2006/relationships/hyperlink" Target="https://bio-overheid.nl/media/1572/bio-versie-104zv_def.pdf" TargetMode="External"/><Relationship Id="rId18" Type="http://schemas.openxmlformats.org/officeDocument/2006/relationships/hyperlink" Target="https://www.iso.org/standard/77520.html" TargetMode="External"/><Relationship Id="rId19" Type="http://schemas.openxmlformats.org/officeDocument/2006/relationships/hyperlink" Target="https://www.ncsc.nl/documenten/publicaties/2019/mei/01/ict-beveiligingsrichtlijnen-voor-webapplicaties" TargetMode="External"/><Relationship Id="rId20" Type="http://schemas.openxmlformats.org/officeDocument/2006/relationships/hyperlink" Target="https://www.nen.nl/nen-iso-iec-25010-2023-en-318088" TargetMode="External"/><Relationship Id="rId21" Type="http://schemas.openxmlformats.org/officeDocument/2006/relationships/hyperlink" Target="https://www.nen.nl/nen-en-iso-iec-27001-2017-a11-2020-nl-265545" TargetMode="External"/><Relationship Id="rId22" Type="http://schemas.openxmlformats.org/officeDocument/2006/relationships/hyperlink" Target="https://www.nen.nl/nen-en-iso-iec-27002-2017-nl-245390" TargetMode="External"/><Relationship Id="rId23" Type="http://schemas.openxmlformats.org/officeDocument/2006/relationships/hyperlink" Target="https://www.nen.nl/nen-7510-1-2017-a1-2020-nl-267179" TargetMode="External"/><Relationship Id="rId24" Type="http://schemas.openxmlformats.org/officeDocument/2006/relationships/hyperlink" Target="https://www.nen.nl/npr-5325-2017-nl-238298" TargetMode="External"/><Relationship Id="rId25" Type="http://schemas.openxmlformats.org/officeDocument/2006/relationships/hyperlink" Target="https://www.nen.nl/npr-5326-2019-nl-262885" TargetMode="External"/><Relationship Id="rId26" Type="http://schemas.openxmlformats.org/officeDocument/2006/relationships/hyperlink" Target="https://www.noraonline.nl" TargetMode="External"/><Relationship Id="rId27" Type="http://schemas.openxmlformats.org/officeDocument/2006/relationships/hyperlink" Target="https://owasp.org/www-project-top-ten/"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0-07-15"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