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product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Business impact analyse (BIA), </w:t>
      </w:r>
      <w:r>
        <w:rPr>
          <w:color w:val="000000"/>
          <w:highlight w:val="yellow"/>
        </w:rPr>
        <w:t>{documentreferentie}</w:t>
      </w:r>
      <w:r>
        <w:t>,</w:t>
      </w:r>
    </w:p>
    <w:p>
      <w:pPr>
        <w:pStyle w:val="Lijstopsomteken1"/>
        <w:numPr>
          <w:ilvl w:val="0"/>
        </w:numPr>
      </w:pPr>
      <w:r>
        <w:t xml:space="preserve">Privacy impact assessment (PIA), </w:t>
      </w:r>
      <w:r>
        <w:rPr>
          <w:color w:val="000000"/>
          <w:highlight w:val="yellow"/>
        </w:rPr>
        <w:t>{documentreferentie}</w:t>
      </w:r>
      <w:r>
        <w:t>,</w:t>
      </w:r>
    </w:p>
    <w:p>
      <w:pPr>
        <w:pStyle w:val="Lijstopsomteken1"/>
        <w:numPr>
          <w:ilvl w:val="0"/>
        </w:numPr>
      </w:pPr>
      <w:r>
        <w:t xml:space="preserve">Softwarearchitectuurdocument (SAD), </w:t>
      </w:r>
      <w:r>
        <w:rPr>
          <w:color w:val="000000"/>
          <w:highlight w:val="yellow"/>
        </w:rPr>
        <w:t>{documentreferentie}</w:t>
      </w:r>
      <w:r>
        <w:t>,</w:t>
      </w:r>
    </w:p>
    <w:p>
      <w:pPr>
        <w:pStyle w:val="Lijstopsomteken1"/>
        <w:numPr>
          <w:ilvl w:val="0"/>
        </w:numPr>
      </w:pPr>
      <w:r>
        <w:t xml:space="preserve">Infrastructuurarchitectuur (IA), </w:t>
      </w:r>
      <w:r>
        <w:rPr>
          <w:color w:val="000000"/>
          <w:highlight w:val="yellow"/>
        </w:rPr>
        <w:t>{documentreferentie}</w:t>
      </w:r>
      <w:r>
        <w:t>,</w:t>
      </w:r>
    </w:p>
    <w:p>
      <w:pPr>
        <w:pStyle w:val="Lijstopsomteken1"/>
        <w:numPr>
          <w:ilvl w:val="0"/>
        </w:numPr>
      </w:pPr>
      <w:r>
        <w:t xml:space="preserve">Informatiebeveiligingsplan (IB-plan),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Niet-functionele eisen (NFE),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Interactie-ontwerp (UX), </w:t>
      </w:r>
      <w:r>
        <w:rPr>
          <w:color w:val="000000"/>
          <w:highlight w:val="yellow"/>
        </w:rPr>
        <w:t>{documentreferentie}</w:t>
      </w:r>
      <w:r>
        <w:t>,</w:t>
      </w:r>
    </w:p>
    <w:p>
      <w:pPr>
        <w:pStyle w:val="Lijstopsomteken1"/>
        <w:numPr>
          <w:ilvl w:val="0"/>
        </w:numPr>
      </w:pPr>
      <w:r>
        <w:t xml:space="preserve">Product backlog, </w:t>
      </w:r>
      <w:r>
        <w:rPr>
          <w:color w:val="000000"/>
          <w:highlight w:val="yellow"/>
        </w:rPr>
        <w:t>{documentreferentie}</w:t>
      </w:r>
      <w:r>
        <w:t>,</w:t>
      </w:r>
    </w:p>
    <w:p>
      <w:pPr>
        <w:pStyle w:val="Lijstopsomteken1"/>
        <w:numPr>
          <w:ilvl w:val="0"/>
        </w:numPr>
      </w:pPr>
      <w:r>
        <w:t xml:space="preserve">Vastgesteld minimal viable product, </w:t>
      </w:r>
      <w:r>
        <w:rPr>
          <w:color w:val="000000"/>
          <w:highlight w:val="yellow"/>
        </w:rPr>
        <w:t>{documentreferentie}</w:t>
      </w:r>
      <w:r>
        <w:t>,</w:t>
      </w:r>
    </w:p>
    <w:p>
      <w:pPr>
        <w:pStyle w:val="Lijstopsomteken1"/>
        <w:numPr>
          <w:ilvl w:val="0"/>
        </w:numPr>
      </w:pPr>
      <w:r>
        <w:t xml:space="preserve">Wireframe, mockup, prototype, animatie, </w:t>
      </w:r>
      <w:r>
        <w:rPr>
          <w:color w:val="000000"/>
          <w:highlight w:val="yellow"/>
        </w:rPr>
        <w:t>{documentreferentie}</w:t>
      </w:r>
      <w:r>
        <w:t>.</w:t>
      </w:r>
    </w:p>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{Maak gebruik van de kwaliteitskarakteristieken van de norm ISO/IEC-25010:2023.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4"/>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(product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product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product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5">
              <w:r>
                <w:rPr>
                  <w:rStyle w:val="Hyperlink"/>
                </w:rPr>
                <w:t>BIO</w:t>
              </w:r>
            </w:hyperlink>
          </w:p>
        </w:tc>
        <w:tc>
          <w:tcPr>
            <w:tcW w:type="auto" w:w="4535"/>
          </w:tcPr>
          <w:p>
            <w:pPr>
              <w:jc w:val="left"/>
            </w:pPr>
            <w:r>
              <w:t>Baseline Informatiebeveiliging Overheid.</w:t>
            </w:r>
          </w:p>
        </w:tc>
      </w:tr>
      <w:tr>
        <w:tc>
          <w:tcPr>
            <w:tcW w:type="auto" w:w="4535"/>
          </w:tcPr>
          <w:p>
            <w:pPr>
              <w:jc w:val="left"/>
            </w:pPr>
            <w:hyperlink r:id="rId16">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8">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9">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1">
              <w:r>
                <w:rPr>
                  <w:rStyle w:val="Hyperlink"/>
                </w:rPr>
                <w:t>NEN 7510:2017</w:t>
              </w:r>
            </w:hyperlink>
          </w:p>
        </w:tc>
        <w:tc>
          <w:tcPr>
            <w:tcW w:type="auto" w:w="4535"/>
          </w:tcPr>
          <w:p>
            <w:pPr>
              <w:jc w:val="left"/>
            </w:pPr>
            <w:r>
              <w:t>Informatiebeveiliging in de zorg.</w:t>
            </w:r>
          </w:p>
        </w:tc>
      </w:tr>
      <w:tr>
        <w:tc>
          <w:tcPr>
            <w:tcW w:type="auto" w:w="4535"/>
          </w:tcPr>
          <w:p>
            <w:pPr>
              <w:jc w:val="left"/>
            </w:pPr>
            <w:hyperlink r:id="rId22">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3">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4">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5">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6">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7">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8">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9">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0">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1">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2">
        <w:r>
          <w:rPr>
            <w:rStyle w:val="Hyperlink"/>
          </w:rPr>
          <w:t>PDF-formaat</w:t>
        </w:r>
      </w:hyperlink>
      <w:r>
        <w:t xml:space="preserve"> of </w:t>
      </w:r>
      <w:hyperlink r:id="rId33">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image" Target="media/image1.png"/><Relationship Id="rId15" Type="http://schemas.openxmlformats.org/officeDocument/2006/relationships/hyperlink" Target="https://bio-overheid.nl/media/1572/bio-versie-104zv_def.pdf" TargetMode="External"/><Relationship Id="rId16" Type="http://schemas.openxmlformats.org/officeDocument/2006/relationships/hyperlink" Target="https://www.iso.org/standard/77520.html"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www.nen.nl/nen-iso-iec-25010-2023-en-318088" TargetMode="External"/><Relationship Id="rId19" Type="http://schemas.openxmlformats.org/officeDocument/2006/relationships/hyperlink" Target="https://www.nen.nl/nen-en-iso-iec-27001-2017-a11-2020-nl-265545" TargetMode="External"/><Relationship Id="rId20" Type="http://schemas.openxmlformats.org/officeDocument/2006/relationships/hyperlink" Target="https://www.nen.nl/nen-en-iso-iec-27002-2017-nl-245390" TargetMode="External"/><Relationship Id="rId21" Type="http://schemas.openxmlformats.org/officeDocument/2006/relationships/hyperlink" Target="https://www.nen.nl/nen-7510-1-2017-a1-2020-nl-267179" TargetMode="External"/><Relationship Id="rId22" Type="http://schemas.openxmlformats.org/officeDocument/2006/relationships/hyperlink" Target="https://www.nen.nl/npr-5325-2017-nl-238298" TargetMode="External"/><Relationship Id="rId23" Type="http://schemas.openxmlformats.org/officeDocument/2006/relationships/hyperlink" Target="https://www.nen.nl/npr-5326-2019-nl-262885" TargetMode="External"/><Relationship Id="rId24" Type="http://schemas.openxmlformats.org/officeDocument/2006/relationships/hyperlink" Target="https://www.noraonline.nl" TargetMode="External"/><Relationship Id="rId25" Type="http://schemas.openxmlformats.org/officeDocument/2006/relationships/hyperlink" Target="https://owasp.org/www-project-top-ten/" TargetMode="External"/><Relationship Id="rId26" Type="http://schemas.openxmlformats.org/officeDocument/2006/relationships/hyperlink" Target="https://scrumguides.org/docs/scrumguide/v2020/2020-Scrum-Guide-Dutch.pdf" TargetMode="External"/><Relationship Id="rId27" Type="http://schemas.openxmlformats.org/officeDocument/2006/relationships/hyperlink" Target="https://wetten.overheid.nl/BWBR0022141/2007-07-01" TargetMode="External"/><Relationship Id="rId28" Type="http://schemas.openxmlformats.org/officeDocument/2006/relationships/hyperlink" Target="https://wetten.overheid.nl/BWBR0033507/2013-06-01" TargetMode="External"/><Relationship Id="rId29" Type="http://schemas.openxmlformats.org/officeDocument/2006/relationships/hyperlink" Target="https://wetten.overheid.nl/BWBR0041515/2020-07-15" TargetMode="External"/><Relationship Id="rId30" Type="http://schemas.openxmlformats.org/officeDocument/2006/relationships/hyperlink" Target="https://www.tweedekamer.nl/sites/default/files/field_uploads/33326-5-Eindrapport_tcm181-239826.pdf" TargetMode="External"/><Relationship Id="rId31" Type="http://schemas.openxmlformats.org/officeDocument/2006/relationships/hyperlink" Target="https://www.ictu.nl/kwaliteitsaanpak" TargetMode="External"/><Relationship Id="rId32" Type="http://schemas.openxmlformats.org/officeDocument/2006/relationships/hyperlink" Target="https://ictu.github.io/Kwaliteitsaanpak/wip/ICTU-Kwaliteitsaanpak-Wijzigingsgeschiedenis.pdf" TargetMode="External"/><Relationship Id="rId33"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