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9C33" w14:textId="77777777" w:rsidR="00342805" w:rsidRPr="00E755E7" w:rsidRDefault="00342805" w:rsidP="00E755E7"/>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w:t>
      </w:r>
      <w:hyperlink r:id="rId16">
        <w:r>
          <w:rPr>
            <w:rStyle w:val="Hyperlink"/>
          </w:rPr>
          <w:t>Projectresultaat</w:t>
        </w:r>
      </w:hyperlink>
      <w:r>
        <w:t xml:space="preserve">. Dit plan van aanpak beschrijft verder de planning van en werkwijze tijdens de voorfase. Het is een aanvulling op het voorstel inclusief projectovereenkomst </w:t>
      </w:r>
      <w:r>
        <w:rPr>
          <w:color w:val="000000"/>
          <w:highlight w:val="yellow"/>
        </w:rPr>
        <w:t>{titel, versie en datum}</w:t>
      </w:r>
      <w:r>
        <w:t>.</w:t>
      </w:r>
    </w:p>
    <w:p>
      <w:bookmarkStart w:id="0" w:name="doelgroep"/>
      <w:pPr>
        <w:pStyle w:val="Kop2"/>
      </w:pPr>
      <w:r>
        <w:t>Doelgroep</w:t>
      </w:r>
      <w:bookmarkEnd w:id="0" w:name="doelgroep"/>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xml:space="preserve">; zie hiervoor het hoofdstuk </w:t>
      </w:r>
      <w:hyperlink r:id="rId17">
        <w:r>
          <w:rPr>
            <w:rStyle w:val="Hyperlink"/>
          </w:rPr>
          <w:t>Werkwijze</w:t>
        </w:r>
      </w:hyperlink>
      <w:r>
        <w:t>.</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bookmarkStart w:id="0" w:name="uitgangspunten"/>
      <w:pPr>
        <w:pStyle w:val="Kop2"/>
      </w:pPr>
      <w:r>
        <w:t>Uitgangspunten</w:t>
      </w:r>
      <w:bookmarkEnd w:id="0" w:name="uitgangspunten"/>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U05</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Dit plan van aanpak is gebaseerd op de volgende documenten </w:t>
      </w:r>
      <w:r>
        <w:rPr>
          <w:color w:val="000000"/>
          <w:highlight w:val="yellow"/>
        </w:rPr>
        <w:t>{pas aan en breid uit waar nodig}</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Hoofdstuk 3</w:t>
        </w:r>
      </w:hyperlink>
      <w:r>
        <w:t xml:space="preserve"> beschrijft de in de voorfase op te leveren producten. In </w:t>
      </w:r>
      <w:hyperlink r:id="rId17">
        <w:r>
          <w:rPr>
            <w:rStyle w:val="Hyperlink"/>
          </w:rPr>
          <w:t>hoofdstuk 4</w:t>
        </w:r>
      </w:hyperlink>
      <w:r>
        <w:t xml:space="preserve"> staat de werkwijze voor de voorfase. </w:t>
      </w:r>
      <w:hyperlink r:id="rId18">
        <w:r>
          <w:rPr>
            <w:rStyle w:val="Hyperlink"/>
          </w:rPr>
          <w:t>Hoofdstuk 5</w:t>
        </w:r>
      </w:hyperlink>
      <w:r>
        <w:t xml:space="preserve"> beschrijft de planning en doorlooptijd van het project. </w:t>
      </w:r>
      <w:hyperlink r:id="rId19">
        <w:r>
          <w:rPr>
            <w:rStyle w:val="Hyperlink"/>
          </w:rPr>
          <w:t>Hoofdstuk 6</w:t>
        </w:r>
      </w:hyperlink>
      <w:r>
        <w:t xml:space="preserve"> geeft de randvoorwaarden die ingevuld dienen te zijn bij de start van voorfase. </w:t>
      </w:r>
      <w:hyperlink r:id="rId20">
        <w:r>
          <w:rPr>
            <w:rStyle w:val="Hyperlink"/>
          </w:rPr>
          <w:t>Hoofdstuk 7</w:t>
        </w:r>
      </w:hyperlink>
      <w:r>
        <w:t xml:space="preserve"> beschrijft de bekende projectrisico's en de getroffen tegenmaatregelen. </w:t>
      </w:r>
      <w:hyperlink r:id="rId21">
        <w:r>
          <w:rPr>
            <w:rStyle w:val="Hyperlink"/>
          </w:rPr>
          <w:t>Hoofdstuk 8</w:t>
        </w:r>
      </w:hyperlink>
      <w:r>
        <w:t xml:space="preserve"> bevat de verwachte inzet door ICTU. </w:t>
      </w:r>
      <w:r>
        <w:rPr>
          <w:color w:val="000000"/>
          <w:highlight w:val="yellow"/>
        </w:rPr>
        <w:t>{Vul aan en pas verwijzingen aan, indien nodig}</w:t>
      </w:r>
    </w:p>
    <w:p>
      <w:hyperlink r:id="rId22">
        <w:r>
          <w:rPr>
            <w:rStyle w:val="Hyperlink"/>
          </w:rPr>
          <w:t>Bijlage A</w:t>
        </w:r>
      </w:hyperlink>
      <w:r>
        <w:t xml:space="preserve"> bevat afkortingen en termen die voorkomen in de ICTU Kwaliteitsaanpak Softwareontwikkeling en bijbehorende templates. </w:t>
      </w:r>
      <w:hyperlink r:id="rId23">
        <w:r>
          <w:rPr>
            <w:rStyle w:val="Hyperlink"/>
          </w:rPr>
          <w:t>Bijlage B</w:t>
        </w:r>
      </w:hyperlink>
      <w:r>
        <w:t xml:space="preserve"> verwijst naar regelmatig gebruikte bronnen. </w:t>
      </w:r>
      <w:hyperlink r:id="rId24">
        <w:r>
          <w:rPr>
            <w:rStyle w:val="Hyperlink"/>
          </w:rPr>
          <w:t>Bijlage C</w:t>
        </w:r>
      </w:hyperlink>
      <w:r>
        <w:t xml:space="preserve"> bevat een beknopte samenvatting van de ICTU Kwaliteitsaanpak Softwareontwikkeling.</w:t>
      </w:r>
    </w:p>
    <w:p>
      <w:bookmarkStart w:id="0" w:name="projectresultaat"/>
      <w:pPr>
        <w:pStyle w:val="Kop1"/>
      </w:pPr>
      <w:r>
        <w:t>Projectresultaat</w:t>
      </w:r>
      <w:bookmarkEnd w:id="0" w:name="projectresultaat"/>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t>
      </w:r>
      <w:hyperlink r:id="rId17">
        <w:r>
          <w:rPr>
            <w:rStyle w:val="Hyperlink"/>
          </w:rPr>
          <w:t>Werkwijze</w:t>
        </w:r>
      </w:hyperlink>
      <w:r>
        <w:t>.</w:t>
      </w:r>
    </w:p>
    <w:p>
      <w:bookmarkStart w:id="0" w:name="producten"/>
      <w:pPr>
        <w:pStyle w:val="Kop2"/>
      </w:pPr>
      <w:r>
        <w:t>Producten</w:t>
      </w:r>
      <w:bookmarkEnd w:id="0" w:name="producten"/>
    </w:p>
    <w:p>
      <w:r>
        <w:t xml:space="preserve">In de voorfase worden de volgende producten gerealiseerd op basis van </w:t>
      </w:r>
      <w:r>
        <w:rPr>
          <w:color w:val="000000"/>
          <w:highlight w:val="yellow"/>
        </w:rPr>
        <w:t>{bronnen, zoals PSA, BIA en DPIA,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Data protection impact assessment (DPIA)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Impact assessment mensenrechten en algoritmes (IAMA)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25">
        <w:r>
          <w:rPr>
            <w:rStyle w:val="Hyperlink"/>
          </w:rPr>
          <w:t>Template plan van aanpak voorfase producten</w:t>
        </w:r>
      </w:hyperlink>
      <w:r>
        <w:rPr>
          <w:color w:val="000000"/>
          <w:highlight w:val="yellow"/>
        </w:rPr>
        <w:t>.}</w:t>
      </w:r>
    </w:p>
    <w:p>
      <w:bookmarkStart w:id="0" w:name="scope"/>
      <w:pPr>
        <w:pStyle w:val="Kop2"/>
      </w:pPr>
      <w:r>
        <w:t>Scope</w:t>
      </w:r>
      <w:bookmarkEnd w:id="0" w:name="scope"/>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bookmarkStart w:id="0" w:name="werkwijze"/>
      <w:pPr>
        <w:pStyle w:val="Kop1"/>
      </w:pPr>
      <w:r>
        <w:t>Werkwijze</w:t>
      </w:r>
      <w:bookmarkEnd w:id="0" w:name="werkwijze"/>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bookmarkStart w:id="0" w:name="werving"/>
      <w:pPr>
        <w:pStyle w:val="Kop2"/>
      </w:pPr>
      <w:r>
        <w:t>Werving</w:t>
      </w:r>
      <w:bookmarkEnd w:id="0" w:name="werving"/>
    </w:p>
    <w:p>
      <w:r>
        <w:t xml:space="preserve">Direct na de opdrachtverstrekking start ICTU met de bemensing van het project ten behoeve van de voorfase. </w:t>
      </w:r>
      <w:r>
        <w:rPr>
          <w:color w:val="000000"/>
          <w:highlight w:val="yellow"/>
        </w:rPr>
        <w:t>{Beschrijf de eventueel te werven functies}</w:t>
      </w:r>
    </w:p>
    <w:p>
      <w:bookmarkStart w:id="0" w:name="kick-off"/>
      <w:pPr>
        <w:pStyle w:val="Kop2"/>
      </w:pPr>
      <w:r>
        <w:t>Kick-off</w:t>
      </w:r>
      <w:bookmarkEnd w:id="0" w:name="kick-off"/>
    </w:p>
    <w:p>
      <w:r>
        <w:t>Voor een goede start wordt er, bij aanvang van de voorfase, een kick-off georganiseerd met alle projectmedewerkers, beoogde stuurgroepleden en de opdrachtgever. Na opdrachtverstrekking zal de projectleider van ICTU de kick-off plannen.</w:t>
      </w:r>
    </w:p>
    <w:p>
      <w:bookmarkStart w:id="0" w:name="samenwerking"/>
      <w:pPr>
        <w:pStyle w:val="Kop2"/>
      </w:pPr>
      <w:r>
        <w:t>Samenwerking</w:t>
      </w:r>
      <w:bookmarkEnd w:id="0" w:name="samenwerking"/>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bookmarkStart w:id="0" w:name="projectbesturing"/>
      <w:pPr>
        <w:pStyle w:val="Kop2"/>
      </w:pPr>
      <w:r>
        <w:t>Projectbesturing</w:t>
      </w:r>
      <w:bookmarkEnd w:id="0" w:name="projectbesturing"/>
    </w:p>
    <w:p>
      <w:r>
        <w:rPr>
          <w:color w:val="000000"/>
          <w:highlight w:val="yellow"/>
        </w:rPr>
        <w:t>{Beschrijf kort de governancestructuur: stuurgroep, rapportage- en escalatielijnen}</w:t>
      </w:r>
    </w:p>
    <w:p>
      <w:bookmarkStart w:id="0" w:name="oplevering-producten"/>
      <w:pPr>
        <w:pStyle w:val="Kop2"/>
      </w:pPr>
      <w:r>
        <w:t>Oplevering producten</w:t>
      </w:r>
      <w:bookmarkEnd w:id="0" w:name="oplevering-producten"/>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bookmarkStart w:id="0" w:name="kwaliteitsbeheersing"/>
      <w:pPr>
        <w:pStyle w:val="Kop2"/>
      </w:pPr>
      <w:r>
        <w:t>Kwaliteitsbeheersing</w:t>
      </w:r>
      <w:bookmarkEnd w:id="0" w:name="kwaliteitsbeheersing"/>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bookmarkStart w:id="0" w:name="verwachte-inzet-door-opdrachtgevende-org"/>
      <w:pPr>
        <w:pStyle w:val="Kop2"/>
      </w:pPr>
      <w:r>
        <w:t xml:space="preserve">Verwachte inzet door </w:t>
      </w:r>
      <w:r>
        <w:rPr>
          <w:color w:val="000000"/>
          <w:highlight w:val="yellow"/>
        </w:rPr>
        <w:t>{opdrachtgevende organisatie}</w:t>
      </w:r>
      <w:r>
        <w:t xml:space="preserve"> en </w:t>
      </w:r>
      <w:r>
        <w:rPr>
          <w:color w:val="000000"/>
          <w:highlight w:val="yellow"/>
        </w:rPr>
        <w:t>{partijen}</w:t>
      </w:r>
      <w:bookmarkEnd w:id="0" w:name="verwachte-inzet-door-opdrachtgevende-org"/>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DPIA,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bookmarkStart w:id="0" w:name="projectafsluiting"/>
      <w:pPr>
        <w:pStyle w:val="Kop2"/>
      </w:pPr>
      <w:r>
        <w:t>Projectafsluiting</w:t>
      </w:r>
      <w:bookmarkEnd w:id="0" w:name="projectafsluiting"/>
    </w:p>
    <w:p>
      <w:r>
        <w:t>Omdat ICTU tijdens het project de documenten regelmatig oplevert is er geen speciale eindoplevering nodig. ICTU archiveert de documenten op SharePoint met een bewaartermijn van vijf jaar.</w:t>
      </w:r>
    </w:p>
    <w:p>
      <w:bookmarkStart w:id="0" w:name="planning"/>
      <w:pPr>
        <w:pStyle w:val="Kop1"/>
      </w:pPr>
      <w:r>
        <w:t>Planning</w:t>
      </w:r>
      <w:bookmarkEnd w:id="0" w:name="planning"/>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bookmarkStart w:id="0" w:name="randvoorwaarden"/>
      <w:pPr>
        <w:pStyle w:val="Kop1"/>
      </w:pPr>
      <w:r>
        <w:t>Randvoorwaarden</w:t>
      </w:r>
      <w:bookmarkEnd w:id="0" w:name="randvoorwaarden"/>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bookmarkStart w:id="0" w:name="projectrisico-s"/>
      <w:pPr>
        <w:pStyle w:val="Kop1"/>
      </w:pPr>
      <w:r>
        <w:t>Projectrisico’s</w:t>
      </w:r>
      <w:bookmarkEnd w:id="0" w:name="projectrisico-s"/>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bookmarkStart w:id="0" w:name="verwachte-inzet-ictu"/>
      <w:pPr>
        <w:pStyle w:val="Kop1"/>
      </w:pPr>
      <w:r>
        <w:t>Verwachte inzet ICTU</w:t>
      </w:r>
      <w:bookmarkEnd w:id="0" w:name="verwachte-inzet-ictu"/>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6">
              <w:r>
                <w:rPr>
                  <w:rStyle w:val="Hyperlink"/>
                </w:rPr>
                <w:t>BIO</w:t>
              </w:r>
            </w:hyperlink>
          </w:p>
        </w:tc>
        <w:tc>
          <w:tcPr>
            <w:tcW w:type="auto" w:w="4535"/>
          </w:tcPr>
          <w:p>
            <w:pPr>
              <w:jc w:val="left"/>
            </w:pPr>
            <w:r>
              <w:t>Baseline Informatiebeveiliging Overheid.</w:t>
            </w:r>
          </w:p>
        </w:tc>
      </w:tr>
      <w:tr>
        <w:tc>
          <w:tcPr>
            <w:tcW w:type="auto" w:w="4535"/>
          </w:tcPr>
          <w:p>
            <w:pPr>
              <w:jc w:val="left"/>
            </w:pPr>
            <w:hyperlink r:id="rId2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2">
              <w:r>
                <w:rPr>
                  <w:rStyle w:val="Hyperlink"/>
                </w:rPr>
                <w:t>NEN 7510-2:2024</w:t>
              </w:r>
            </w:hyperlink>
          </w:p>
        </w:tc>
        <w:tc>
          <w:tcPr>
            <w:tcW w:type="auto" w:w="4535"/>
          </w:tcPr>
          <w:p>
            <w:pPr>
              <w:jc w:val="left"/>
            </w:pPr>
          </w:p>
        </w:tc>
      </w:tr>
      <w:tr>
        <w:tc>
          <w:tcPr>
            <w:tcW w:type="auto" w:w="4535"/>
          </w:tcPr>
          <w:p>
            <w:pPr>
              <w:jc w:val="left"/>
            </w:pPr>
            <w:hyperlink r:id="rId3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9">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4">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E755E7"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0976E" w14:textId="77777777" w:rsidR="003F17E7" w:rsidRDefault="003F17E7" w:rsidP="008E4D39">
      <w:pPr>
        <w:spacing w:after="0" w:line="240" w:lineRule="auto"/>
      </w:pPr>
      <w:r>
        <w:separator/>
      </w:r>
    </w:p>
  </w:endnote>
  <w:endnote w:type="continuationSeparator" w:id="0">
    <w:p w14:paraId="36CAFE2C" w14:textId="77777777" w:rsidR="003F17E7" w:rsidRDefault="003F17E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6138" w14:textId="77777777" w:rsidR="003F17E7" w:rsidRDefault="003F17E7" w:rsidP="008E4D39">
      <w:pPr>
        <w:spacing w:after="0" w:line="240" w:lineRule="auto"/>
      </w:pPr>
      <w:r>
        <w:separator/>
      </w:r>
    </w:p>
  </w:footnote>
  <w:footnote w:type="continuationSeparator" w:id="0">
    <w:p w14:paraId="1801E2C5" w14:textId="77777777" w:rsidR="003F17E7" w:rsidRDefault="003F17E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128A"/>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3F17E7"/>
    <w:rsid w:val="004006EF"/>
    <w:rsid w:val="00416BDF"/>
    <w:rsid w:val="00440772"/>
    <w:rsid w:val="004821E1"/>
    <w:rsid w:val="004A121B"/>
    <w:rsid w:val="004B5077"/>
    <w:rsid w:val="004B66EF"/>
    <w:rsid w:val="004C6BB0"/>
    <w:rsid w:val="004D745C"/>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4C0F"/>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34663"/>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E5225B"/>
    <w:rsid w:val="00E5292B"/>
    <w:rsid w:val="00E5594F"/>
    <w:rsid w:val="00E5786B"/>
    <w:rsid w:val="00E755E7"/>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0F128A"/>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projectresultaat" TargetMode="External"/><Relationship Id="rId17" Type="http://schemas.openxmlformats.org/officeDocument/2006/relationships/hyperlink" Target="#werkwijze" TargetMode="External"/><Relationship Id="rId18" Type="http://schemas.openxmlformats.org/officeDocument/2006/relationships/hyperlink" Target="#planning" TargetMode="External"/><Relationship Id="rId19" Type="http://schemas.openxmlformats.org/officeDocument/2006/relationships/hyperlink" Target="#randvoorwaarden" TargetMode="External"/><Relationship Id="rId20" Type="http://schemas.openxmlformats.org/officeDocument/2006/relationships/hyperlink" Target="#projectrisico-s" TargetMode="External"/><Relationship Id="rId21" Type="http://schemas.openxmlformats.org/officeDocument/2006/relationships/hyperlink" Target="#verwachte-inzet-ictu" TargetMode="External"/><Relationship Id="rId22" Type="http://schemas.openxmlformats.org/officeDocument/2006/relationships/hyperlink" Target="#terminologie-en-afkortingen" TargetMode="External"/><Relationship Id="rId23" Type="http://schemas.openxmlformats.org/officeDocument/2006/relationships/hyperlink" Target="#bronnen" TargetMode="External"/><Relationship Id="rId24" Type="http://schemas.openxmlformats.org/officeDocument/2006/relationships/hyperlink" Target="#de-ictu-kwaliteitsaanpak-softwareontwikk" TargetMode="External"/><Relationship Id="rId25" Type="http://schemas.openxmlformats.org/officeDocument/2006/relationships/hyperlink" Target="https://ictu.github.io/Kwaliteitsaanpak/wip/ICTU-Template-Plan-van-Aanpak-Voorfase-Producten.xlsx" TargetMode="External"/><Relationship Id="rId26" Type="http://schemas.openxmlformats.org/officeDocument/2006/relationships/hyperlink" Target="https://www.bio-overheid.nl/media/dr4inbhc/20260109-baseline-informatiebeveiliging-overheid-2-bio2-v13-def.pdf" TargetMode="External"/><Relationship Id="rId27" Type="http://schemas.openxmlformats.org/officeDocument/2006/relationships/hyperlink" Target="https://www.iso.org/standard/77520.html" TargetMode="External"/><Relationship Id="rId28" Type="http://schemas.openxmlformats.org/officeDocument/2006/relationships/hyperlink" Target="https://www.ncsc.nl/documenten/publicaties/2019/mei/01/ict-beveiligingsrichtlijnen-voor-webapplicaties" TargetMode="External"/><Relationship Id="rId29" Type="http://schemas.openxmlformats.org/officeDocument/2006/relationships/hyperlink" Target="https://www.nen.nl/nen-iso-iec-25010-2023-en-318088" TargetMode="External"/><Relationship Id="rId30" Type="http://schemas.openxmlformats.org/officeDocument/2006/relationships/hyperlink" Target="https://www.nen.nl/nen-en-iso-iec-27001-2023-nl-314206" TargetMode="External"/><Relationship Id="rId31" Type="http://schemas.openxmlformats.org/officeDocument/2006/relationships/hyperlink" Target="https://www.nen.nl/nen-en-iso-iec-27002-2022-nl-304509" TargetMode="External"/><Relationship Id="rId32" Type="http://schemas.openxmlformats.org/officeDocument/2006/relationships/hyperlink" Target="https://www.nen.nl/nen-7510-2-2024-nl-331314" TargetMode="External"/><Relationship Id="rId33" Type="http://schemas.openxmlformats.org/officeDocument/2006/relationships/hyperlink" Target="https://www.nen.nl/npr-5325-2017-nl-238298" TargetMode="External"/><Relationship Id="rId34" Type="http://schemas.openxmlformats.org/officeDocument/2006/relationships/hyperlink" Target="https://www.nen.nl/npr-5326-2019-nl-262885" TargetMode="External"/><Relationship Id="rId35" Type="http://schemas.openxmlformats.org/officeDocument/2006/relationships/hyperlink" Target="https://www.noraonline.nl" TargetMode="External"/><Relationship Id="rId36" Type="http://schemas.openxmlformats.org/officeDocument/2006/relationships/hyperlink" Target="https://owasp.org/www-project-top-ten/" TargetMode="External"/><Relationship Id="rId37" Type="http://schemas.openxmlformats.org/officeDocument/2006/relationships/hyperlink" Target="https://scrumguides.org/docs/scrumguide/v2020/2020-Scrum-Guide-Dutch.pdf" TargetMode="External"/><Relationship Id="rId38" Type="http://schemas.openxmlformats.org/officeDocument/2006/relationships/hyperlink" Target="https://wetten.overheid.nl/BWBR0022141/2007-07-01" TargetMode="External"/><Relationship Id="rId39" Type="http://schemas.openxmlformats.org/officeDocument/2006/relationships/hyperlink" Target="https://wetten.overheid.nl/BWBR0051482/2025-09-09/" TargetMode="External"/><Relationship Id="rId40" Type="http://schemas.openxmlformats.org/officeDocument/2006/relationships/hyperlink" Target="https://wetten.overheid.nl/BWBR0041515/2024-10-01/" TargetMode="External"/><Relationship Id="rId41" Type="http://schemas.openxmlformats.org/officeDocument/2006/relationships/hyperlink" Target="https://www.tweedekamer.nl/sites/default/files/field_uploads/33326-5-Eindrapport_tcm181-239826.pdf" TargetMode="External"/><Relationship Id="rId42" Type="http://schemas.openxmlformats.org/officeDocument/2006/relationships/hyperlink" Target="https://www.ictu.nl/kwaliteitsaanpak" TargetMode="External"/><Relationship Id="rId43" Type="http://schemas.openxmlformats.org/officeDocument/2006/relationships/hyperlink" Target="https://ictu.github.io/Kwaliteitsaanpak/wip/ICTU-Kwaliteitsaanpak-Wijzigingsgeschiedenis.html" TargetMode="External"/><Relationship Id="rId44"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106</cp:revision>
  <dcterms:created xsi:type="dcterms:W3CDTF">2019-09-02T06:29:00Z</dcterms:created>
  <dcterms:modified xsi:type="dcterms:W3CDTF">2026-06-22T15:59:00Z</dcterms:modified>
  <cp:category/>
</cp:coreProperties>
</file>