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bookmarkStart w:id="0" w:name="doelgroep"/>
      <w:pPr>
        <w:pStyle w:val="Kop2"/>
      </w:pPr>
      <w:r>
        <w:t>Doelgroep</w:t>
      </w:r>
      <w:bookmarkEnd w:id="0" w:name="doelgroep"/>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ontwerpbeslissingen. In </w:t>
      </w:r>
      <w:hyperlink r:id="rId17">
        <w:r>
          <w:rPr>
            <w:rStyle w:val="Hyperlink"/>
          </w:rPr>
          <w:t>hoofdstuk 4</w:t>
        </w:r>
      </w:hyperlink>
      <w:r>
        <w:t xml:space="preserve"> staat de applicatiecontext beschreven. </w:t>
      </w:r>
      <w:hyperlink r:id="rId18">
        <w:r>
          <w:rPr>
            <w:rStyle w:val="Hyperlink"/>
          </w:rPr>
          <w:t>Hoofdstuk 5</w:t>
        </w:r>
      </w:hyperlink>
      <w:r>
        <w:t xml:space="preserve"> beschrijft de applicatiearchitectuur. </w:t>
      </w:r>
      <w:hyperlink r:id="rId19">
        <w:r>
          <w:rPr>
            <w:rStyle w:val="Hyperlink"/>
          </w:rPr>
          <w:t>Hoofdstuk 6</w:t>
        </w:r>
      </w:hyperlink>
      <w:r>
        <w:t xml:space="preserve"> beschrijft de informatiearchitectuur. </w:t>
      </w:r>
      <w:hyperlink r:id="rId20">
        <w:r>
          <w:rPr>
            <w:rStyle w:val="Hyperlink"/>
          </w:rPr>
          <w:t>Hoofdstuk 7</w:t>
        </w:r>
      </w:hyperlink>
      <w:r>
        <w:t xml:space="preserve"> geeft de deployment view. </w:t>
      </w:r>
      <w:hyperlink r:id="rId21">
        <w:r>
          <w:rPr>
            <w:rStyle w:val="Hyperlink"/>
          </w:rPr>
          <w:t>Hoofdstuk 8</w:t>
        </w:r>
      </w:hyperlink>
      <w:r>
        <w:t xml:space="preserve"> bevat de implementatieview. </w:t>
      </w:r>
      <w:hyperlink r:id="rId22">
        <w:r>
          <w:rPr>
            <w:rStyle w:val="Hyperlink"/>
          </w:rPr>
          <w:t>Hoofdstuk 9</w:t>
        </w:r>
      </w:hyperlink>
      <w:r>
        <w:t xml:space="preserve"> beschrijft de security view. </w:t>
      </w:r>
      <w:hyperlink r:id="rId23">
        <w:r>
          <w:rPr>
            <w:rStyle w:val="Hyperlink"/>
          </w:rPr>
          <w:t>Hoofdstuk 10</w:t>
        </w:r>
      </w:hyperlink>
      <w:r>
        <w:t xml:space="preserve"> bevat de performance view. </w:t>
      </w:r>
      <w:hyperlink r:id="rId24">
        <w:r>
          <w:rPr>
            <w:rStyle w:val="Hyperlink"/>
          </w:rPr>
          <w:t>Hoofdstuk 11</w:t>
        </w:r>
      </w:hyperlink>
      <w:r>
        <w:t xml:space="preserve"> tenslotte beschrijft overige architectureel-significante niet-functionele eigenschappen. </w:t>
      </w:r>
      <w:r>
        <w:rPr>
          <w:color w:val="000000"/>
          <w:highlight w:val="yellow"/>
        </w:rPr>
        <w:t>{Vul aan en pas verwijzingen aan, indien nodig}</w:t>
      </w:r>
    </w:p>
    <w:p>
      <w:hyperlink r:id="rId25">
        <w:r>
          <w:rPr>
            <w:rStyle w:val="Hyperlink"/>
          </w:rPr>
          <w:t>Bijlage A</w:t>
        </w:r>
      </w:hyperlink>
      <w:r>
        <w:t xml:space="preserve"> bevat afkortingen en termen die voorkomen in de ICTU Kwaliteitsaanpak Softwareontwikkeling en bijbehorende templates. </w:t>
      </w:r>
      <w:hyperlink r:id="rId26">
        <w:r>
          <w:rPr>
            <w:rStyle w:val="Hyperlink"/>
          </w:rPr>
          <w:t>Bijlage B</w:t>
        </w:r>
      </w:hyperlink>
      <w:r>
        <w:t xml:space="preserve"> verwijst naar regelmatig gebruikte bronnen. </w:t>
      </w:r>
      <w:hyperlink r:id="rId27">
        <w:r>
          <w:rPr>
            <w:rStyle w:val="Hyperlink"/>
          </w:rPr>
          <w:t>Bijlage C</w:t>
        </w:r>
      </w:hyperlink>
      <w:r>
        <w:t xml:space="preserve"> bevat een beknopte samenvatting van de ICTU Kwaliteitsaanpak Softwareontwikkeling.</w:t>
      </w:r>
    </w:p>
    <w:p>
      <w:bookmarkStart w:id="0" w:name="ontwerpbeslissingen"/>
      <w:pPr>
        <w:pStyle w:val="Kop1"/>
      </w:pPr>
      <w:r>
        <w:t>Ontwerpbeslissingen</w:t>
      </w:r>
      <w:bookmarkEnd w:id="0" w:name="ontwerpbeslissingen"/>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bookmarkStart w:id="0" w:name="ontwerpprincipes"/>
      <w:pPr>
        <w:pStyle w:val="Kop2"/>
      </w:pPr>
      <w:r>
        <w:t>Ontwerpprincipes</w:t>
      </w:r>
      <w:bookmarkEnd w:id="0" w:name="ontwerpprincipes"/>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bookmarkStart w:id="0" w:name="gelaagde-applicatiearchitectuur"/>
      <w:pPr>
        <w:pStyle w:val="Kop2"/>
      </w:pPr>
      <w:r>
        <w:t>Gelaagde applicatiearchitectuur</w:t>
      </w:r>
      <w:bookmarkEnd w:id="0" w:name="gelaagde-applicatiearchitectuu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bookmarkStart w:id="0" w:name="gebruik-van-bewezen-componenten-en-stand"/>
      <w:pPr>
        <w:pStyle w:val="Kop2"/>
      </w:pPr>
      <w:r>
        <w:t>Gebruik van bewezen componenten en standaarden</w:t>
      </w:r>
      <w:bookmarkEnd w:id="0" w:name="gebruik-van-bewezen-componenten-en-stand"/>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bookmarkStart w:id="0" w:name="gebruik-van-gangbare-security-ontwerppri"/>
      <w:pPr>
        <w:pStyle w:val="Kop2"/>
      </w:pPr>
      <w:r>
        <w:t>Gebruik van gangbare security-ontwerpprincipes</w:t>
      </w:r>
      <w:bookmarkEnd w:id="0" w:name="gebruik-van-gangbare-security-ontwerppri"/>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bookmarkStart w:id="0" w:name="gebruiker-beslist"/>
      <w:pPr>
        <w:pStyle w:val="Kop2"/>
      </w:pPr>
      <w:r>
        <w:t>Gebruiker beslist</w:t>
      </w:r>
      <w:bookmarkEnd w:id="0" w:name="gebruiker-beslist"/>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bookmarkStart w:id="0" w:name="applicatiecontext"/>
      <w:pPr>
        <w:pStyle w:val="Kop1"/>
      </w:pPr>
      <w:r>
        <w:t>Applicatiecontext</w:t>
      </w:r>
      <w:bookmarkEnd w:id="0" w:name="applicatiecontext"/>
    </w:p>
    <w:p>
      <w:r>
        <w:rPr>
          <w:color w:val="000000"/>
          <w:highlight w:val="yellow"/>
        </w:rPr>
        <w:t>{Beschrijf in dit hoofdstuk de technische context waarbinnen de applicatie zal opereren. Indien deze informatie al in de PSA of ander document beschreven staan kan dit hoofdstuk weggelaten worden.}</w:t>
      </w:r>
    </w:p>
    <w:p>
      <w:bookmarkStart w:id="0" w:name="omliggende-systemen"/>
      <w:pPr>
        <w:pStyle w:val="Kop2"/>
      </w:pPr>
      <w:r>
        <w:t>Omliggende systemen</w:t>
      </w:r>
      <w:bookmarkEnd w:id="0" w:name="omliggende-systemen"/>
    </w:p>
    <w:p>
      <w:bookmarkStart w:id="0" w:name="management-control"/>
      <w:pPr>
        <w:pStyle w:val="Kop3"/>
      </w:pPr>
      <w:r>
        <w:t>Management &amp; control</w:t>
      </w:r>
      <w:bookmarkEnd w:id="0" w:name="management-control"/>
    </w:p>
    <w:p>
      <w:bookmarkStart w:id="0" w:name="softwareprovisioning"/>
      <w:pPr>
        <w:pStyle w:val="Kop3"/>
      </w:pPr>
      <w:r>
        <w:t>Softwareprovisioning</w:t>
      </w:r>
      <w:bookmarkEnd w:id="0" w:name="softwareprovisioning"/>
    </w:p>
    <w:p>
      <w:bookmarkStart w:id="0" w:name="identity-en-authorization-provisioning"/>
      <w:pPr>
        <w:pStyle w:val="Kop3"/>
      </w:pPr>
      <w:r>
        <w:t>Identity- en authorization-provisioning</w:t>
      </w:r>
      <w:bookmarkEnd w:id="0" w:name="identity-en-authorization-provisioning"/>
    </w:p>
    <w:p>
      <w:bookmarkStart w:id="0" w:name="dataprovisioning"/>
      <w:pPr>
        <w:pStyle w:val="Kop3"/>
      </w:pPr>
      <w:r>
        <w:t>Dataprovisioning</w:t>
      </w:r>
      <w:bookmarkEnd w:id="0" w:name="dataprovisioning"/>
    </w:p>
    <w:p>
      <w:bookmarkStart w:id="0" w:name="logging-auditing"/>
      <w:pPr>
        <w:pStyle w:val="Kop3"/>
      </w:pPr>
      <w:r>
        <w:t>Logging &amp; auditing</w:t>
      </w:r>
      <w:bookmarkEnd w:id="0" w:name="logging-auditing"/>
    </w:p>
    <w:p>
      <w:bookmarkStart w:id="0" w:name="backup-recovery"/>
      <w:pPr>
        <w:pStyle w:val="Kop3"/>
      </w:pPr>
      <w:r>
        <w:t>Backup &amp; recovery</w:t>
      </w:r>
      <w:bookmarkEnd w:id="0" w:name="backup-recovery"/>
    </w:p>
    <w:p>
      <w:bookmarkStart w:id="0" w:name="gebruikerssystemen"/>
      <w:pPr>
        <w:pStyle w:val="Kop2"/>
      </w:pPr>
      <w:r>
        <w:t>Gebruikerssystemen</w:t>
      </w:r>
      <w:bookmarkEnd w:id="0" w:name="gebruikerssystemen"/>
    </w:p>
    <w:p>
      <w:bookmarkStart w:id="0" w:name="externe-systemen"/>
      <w:pPr>
        <w:pStyle w:val="Kop2"/>
      </w:pPr>
      <w:r>
        <w:t>Externe systemen</w:t>
      </w:r>
      <w:bookmarkEnd w:id="0" w:name="externe-systemen"/>
    </w:p>
    <w:p>
      <w:bookmarkStart w:id="0" w:name="applicatiearchitectuur"/>
      <w:pPr>
        <w:pStyle w:val="Kop1"/>
      </w:pPr>
      <w:r>
        <w:t>Applicatiearchitectuur</w:t>
      </w:r>
      <w:bookmarkEnd w:id="0" w:name="applicatiearchitectuur"/>
    </w:p>
    <w:p>
      <w:bookmarkStart w:id="0" w:name="componenten"/>
      <w:pPr>
        <w:pStyle w:val="Kop2"/>
      </w:pPr>
      <w:r>
        <w:t>Componenten</w:t>
      </w:r>
      <w:bookmarkEnd w:id="0" w:name="componenten"/>
    </w:p>
    <w:p>
      <w:r>
        <w:rPr>
          <w:color w:val="000000"/>
          <w:highlight w:val="yellow"/>
        </w:rPr>
        <w:t>{Figuur met alle componenten}</w:t>
      </w:r>
    </w:p>
    <w:p>
      <w:bookmarkStart w:id="0" w:name="webserver"/>
      <w:pPr>
        <w:pStyle w:val="Kop3"/>
      </w:pPr>
      <w:r>
        <w:t>Webserver</w:t>
      </w:r>
      <w:bookmarkEnd w:id="0" w:name="webserver"/>
    </w:p>
    <w:p>
      <w:bookmarkStart w:id="0" w:name="directoryserver"/>
      <w:pPr>
        <w:pStyle w:val="Kop3"/>
      </w:pPr>
      <w:r>
        <w:t>Directoryserver</w:t>
      </w:r>
      <w:bookmarkEnd w:id="0" w:name="directoryserver"/>
    </w:p>
    <w:p>
      <w:bookmarkStart w:id="0" w:name="functieservices"/>
      <w:pPr>
        <w:pStyle w:val="Kop3"/>
      </w:pPr>
      <w:r>
        <w:t>Functieservices</w:t>
      </w:r>
      <w:bookmarkEnd w:id="0" w:name="functieservices"/>
    </w:p>
    <w:p>
      <w:bookmarkStart w:id="0" w:name="logische-view-dynamisch"/>
      <w:pPr>
        <w:pStyle w:val="Kop2"/>
      </w:pPr>
      <w:r>
        <w:t>Logische View - Dynamisch</w:t>
      </w:r>
      <w:bookmarkEnd w:id="0" w:name="logische-view-dynamisch"/>
    </w:p>
    <w:p>
      <w:bookmarkStart w:id="0" w:name="use-cases"/>
      <w:pPr>
        <w:pStyle w:val="Kop3"/>
      </w:pPr>
      <w:r>
        <w:t>Use cases</w:t>
      </w:r>
      <w:bookmarkEnd w:id="0" w:name="use-cases"/>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bookmarkStart w:id="0" w:name="informatiearchitectuur"/>
      <w:pPr>
        <w:pStyle w:val="Kop1"/>
      </w:pPr>
      <w:r>
        <w:t>Informatiearchitectuur</w:t>
      </w:r>
      <w:bookmarkEnd w:id="0" w:name="informatiearchitectuur"/>
    </w:p>
    <w:p>
      <w:bookmarkStart w:id="0" w:name="uitwisseling-van-gegevens-met-externe-sy"/>
      <w:pPr>
        <w:pStyle w:val="Kop2"/>
      </w:pPr>
      <w:r>
        <w:t>Uitwisseling van gegevens met externe systemen</w:t>
      </w:r>
      <w:bookmarkEnd w:id="0" w:name="uitwisseling-van-gegevens-met-externe-sy"/>
    </w:p>
    <w:p>
      <w:bookmarkStart w:id="0" w:name="koppelvlak-1-naam-koppelvlak-bijvoorbeel"/>
      <w:pPr>
        <w:pStyle w:val="Kop3"/>
      </w:pPr>
      <w:r>
        <w:t xml:space="preserve">Koppelvlak 1 - </w:t>
      </w:r>
      <w:r>
        <w:rPr>
          <w:color w:val="000000"/>
          <w:highlight w:val="yellow"/>
        </w:rPr>
        <w:t>{naam koppelvlak, bijvoorbeeld: Identiteiten- en autorisatiessysteem}</w:t>
      </w:r>
      <w:bookmarkEnd w:id="0" w:name="koppelvlak-1-naam-koppelvlak-bijvoorbeel"/>
    </w:p>
    <w:p>
      <w:bookmarkStart w:id="0" w:name="koppelvlak-2-naam-koppelvlak"/>
      <w:pPr>
        <w:pStyle w:val="Kop3"/>
      </w:pPr>
      <w:r>
        <w:t xml:space="preserve">Koppelvlak 2 - </w:t>
      </w:r>
      <w:r>
        <w:rPr>
          <w:color w:val="000000"/>
          <w:highlight w:val="yellow"/>
        </w:rPr>
        <w:t>{naam koppelvlak}</w:t>
      </w:r>
      <w:bookmarkEnd w:id="0" w:name="koppelvlak-2-naam-koppelvlak"/>
    </w:p>
    <w:p>
      <w:bookmarkStart w:id="0" w:name="koppelvlak-3-naam-koppelvlak"/>
      <w:pPr>
        <w:pStyle w:val="Kop3"/>
      </w:pPr>
      <w:r>
        <w:t xml:space="preserve">Koppelvlak 3 - </w:t>
      </w:r>
      <w:r>
        <w:rPr>
          <w:color w:val="000000"/>
          <w:highlight w:val="yellow"/>
        </w:rPr>
        <w:t>{naam koppelvlak}</w:t>
      </w:r>
      <w:bookmarkEnd w:id="0" w:name="koppelvlak-3-naam-koppelvlak"/>
    </w:p>
    <w:p>
      <w:bookmarkStart w:id="0" w:name="conceptueel-gegevensmodel"/>
      <w:pPr>
        <w:pStyle w:val="Kop2"/>
      </w:pPr>
      <w:r>
        <w:t>Conceptueel gegevensmodel</w:t>
      </w:r>
      <w:bookmarkEnd w:id="0" w:name="conceptueel-gegevensmodel"/>
    </w:p>
    <w:p>
      <w:bookmarkStart w:id="0" w:name="conceptueel-gegevensmodel-metadata"/>
      <w:pPr>
        <w:pStyle w:val="Kop2"/>
      </w:pPr>
      <w:r>
        <w:t>Conceptueel gegevensmodel metadata</w:t>
      </w:r>
      <w:bookmarkEnd w:id="0" w:name="conceptueel-gegevensmodel-metadata"/>
    </w:p>
    <w:p>
      <w:bookmarkStart w:id="0" w:name="logginginformatie"/>
      <w:pPr>
        <w:pStyle w:val="Kop2"/>
      </w:pPr>
      <w:r>
        <w:t>Logginginformatie</w:t>
      </w:r>
      <w:bookmarkEnd w:id="0" w:name="logginginformatie"/>
    </w:p>
    <w:p>
      <w:bookmarkStart w:id="0" w:name="technische-applicatie-log"/>
      <w:pPr>
        <w:pStyle w:val="Kop3"/>
      </w:pPr>
      <w:r>
        <w:t>Technische (applicatie)log</w:t>
      </w:r>
      <w:bookmarkEnd w:id="0" w:name="technische-applicatie-log"/>
    </w:p>
    <w:p>
      <w:bookmarkStart w:id="0" w:name="berichtenlog"/>
      <w:pPr>
        <w:pStyle w:val="Kop3"/>
      </w:pPr>
      <w:r>
        <w:t>Berichtenlog</w:t>
      </w:r>
      <w:bookmarkEnd w:id="0" w:name="berichtenlog"/>
    </w:p>
    <w:p>
      <w:bookmarkStart w:id="0" w:name="audit-log"/>
      <w:pPr>
        <w:pStyle w:val="Kop3"/>
      </w:pPr>
      <w:r>
        <w:t>Audit log</w:t>
      </w:r>
      <w:bookmarkEnd w:id="0" w:name="audit-log"/>
    </w:p>
    <w:p>
      <w:bookmarkStart w:id="0" w:name="performance-log"/>
      <w:pPr>
        <w:pStyle w:val="Kop3"/>
      </w:pPr>
      <w:r>
        <w:t>Performance log</w:t>
      </w:r>
      <w:bookmarkEnd w:id="0" w:name="performance-log"/>
    </w:p>
    <w:p>
      <w:bookmarkStart w:id="0" w:name="deployment-view"/>
      <w:pPr>
        <w:pStyle w:val="Kop1"/>
      </w:pPr>
      <w:r>
        <w:t>Deployment view</w:t>
      </w:r>
      <w:bookmarkEnd w:id="0" w:name="deployment-view"/>
    </w:p>
    <w:p>
      <w:bookmarkStart w:id="0" w:name="implementatieview"/>
      <w:pPr>
        <w:pStyle w:val="Kop1"/>
      </w:pPr>
      <w:r>
        <w:t>Implementatieview</w:t>
      </w:r>
      <w:bookmarkEnd w:id="0" w:name="implementatieview"/>
    </w:p>
    <w:p>
      <w:bookmarkStart w:id="0" w:name="scope"/>
      <w:pPr>
        <w:pStyle w:val="Kop2"/>
      </w:pPr>
      <w:r>
        <w:t>Scope</w:t>
      </w:r>
      <w:bookmarkEnd w:id="0" w:name="scope"/>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bookmarkStart w:id="0" w:name="implementatierichtlijnen"/>
      <w:pPr>
        <w:pStyle w:val="Kop2"/>
      </w:pPr>
      <w:r>
        <w:t>Implementatierichtlijnen</w:t>
      </w:r>
      <w:bookmarkEnd w:id="0" w:name="implementatierichtlijnen"/>
    </w:p>
    <w:p>
      <w:bookmarkStart w:id="0" w:name="programmeertaal-en-programmeeromgeving"/>
      <w:pPr>
        <w:pStyle w:val="Kop3"/>
      </w:pPr>
      <w:r>
        <w:t>Programmeertaal en programmeeromgeving</w:t>
      </w:r>
      <w:bookmarkEnd w:id="0" w:name="programmeertaal-en-programmeeromgeving"/>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bookmarkStart w:id="0" w:name="technische-applicatielogging"/>
      <w:pPr>
        <w:pStyle w:val="Kop3"/>
      </w:pPr>
      <w:r>
        <w:t>Technische applicatielogging</w:t>
      </w:r>
      <w:bookmarkEnd w:id="0" w:name="technische-applicatielogging"/>
    </w:p>
    <w:p>
      <w:bookmarkStart w:id="0" w:name="gebruik-van-exceptions"/>
      <w:pPr>
        <w:pStyle w:val="Kop3"/>
      </w:pPr>
      <w:r>
        <w:t>Gebruik van exceptions</w:t>
      </w:r>
      <w:bookmarkEnd w:id="0" w:name="gebruik-van-exceptions"/>
    </w:p>
    <w:p>
      <w:bookmarkStart w:id="0" w:name="gebruik-van-transacties"/>
      <w:pPr>
        <w:pStyle w:val="Kop3"/>
      </w:pPr>
      <w:r>
        <w:t>Gebruik van transacties</w:t>
      </w:r>
      <w:bookmarkEnd w:id="0" w:name="gebruik-van-transacties"/>
    </w:p>
    <w:p>
      <w:bookmarkStart w:id="0" w:name="gebruik-van-threads-en-processen"/>
      <w:pPr>
        <w:pStyle w:val="Kop3"/>
      </w:pPr>
      <w:r>
        <w:t>Gebruik van threads en processen</w:t>
      </w:r>
      <w:bookmarkEnd w:id="0" w:name="gebruik-van-threads-en-processen"/>
    </w:p>
    <w:p>
      <w:bookmarkStart w:id="0" w:name="toepassing-van-frameworks-en-libraries"/>
      <w:pPr>
        <w:pStyle w:val="Kop3"/>
      </w:pPr>
      <w:r>
        <w:t>Toepassing van frameworks en libraries</w:t>
      </w:r>
      <w:bookmarkEnd w:id="0" w:name="toepassing-van-frameworks-en-libraries"/>
    </w:p>
    <w:p>
      <w:bookmarkStart w:id="0" w:name="coding-rules"/>
      <w:pPr>
        <w:pStyle w:val="Kop3"/>
      </w:pPr>
      <w:r>
        <w:t>Coding rules</w:t>
      </w:r>
      <w:bookmarkEnd w:id="0" w:name="coding-rules"/>
    </w:p>
    <w:p>
      <w:bookmarkStart w:id="0" w:name="implementatietechnologie"/>
      <w:pPr>
        <w:pStyle w:val="Kop2"/>
      </w:pPr>
      <w:r>
        <w:t>Implementatietechnologie</w:t>
      </w:r>
      <w:bookmarkEnd w:id="0" w:name="implementatietechnologie"/>
    </w:p>
    <w:p>
      <w:bookmarkStart w:id="0" w:name="besturingssysteem-en-middleware"/>
      <w:pPr>
        <w:pStyle w:val="Kop3"/>
      </w:pPr>
      <w:r>
        <w:t>Besturingssysteem en middleware</w:t>
      </w:r>
      <w:bookmarkEnd w:id="0" w:name="besturingssysteem-en-middleware"/>
    </w:p>
    <w:p>
      <w:bookmarkStart w:id="0" w:name="applicatiecode"/>
      <w:pPr>
        <w:pStyle w:val="Kop3"/>
      </w:pPr>
      <w:r>
        <w:t>Applicatiecode</w:t>
      </w:r>
      <w:bookmarkEnd w:id="0" w:name="applicatiecode"/>
    </w:p>
    <w:p>
      <w:bookmarkStart w:id="0" w:name="testcode"/>
      <w:pPr>
        <w:pStyle w:val="Kop3"/>
      </w:pPr>
      <w:r>
        <w:t>Testcode</w:t>
      </w:r>
      <w:bookmarkEnd w:id="0" w:name="testcode"/>
    </w:p>
    <w:p>
      <w:bookmarkStart w:id="0" w:name="voortbrengingsproces"/>
      <w:pPr>
        <w:pStyle w:val="Kop2"/>
      </w:pPr>
      <w:r>
        <w:t>Voortbrengingsproces</w:t>
      </w:r>
      <w:bookmarkEnd w:id="0" w:name="voortbrengingsproces"/>
    </w:p>
    <w:p>
      <w:bookmarkStart w:id="0" w:name="kwaliteitsstraat"/>
      <w:pPr>
        <w:pStyle w:val="Kop2"/>
      </w:pPr>
      <w:r>
        <w:t>Kwaliteitsstraat</w:t>
      </w:r>
      <w:bookmarkEnd w:id="0" w:name="kwaliteitsstraat"/>
    </w:p>
    <w:p>
      <w:bookmarkStart w:id="0" w:name="omgevingen"/>
      <w:pPr>
        <w:pStyle w:val="Kop2"/>
      </w:pPr>
      <w:r>
        <w:t>Omgevingen</w:t>
      </w:r>
      <w:bookmarkEnd w:id="0" w:name="omgevingen"/>
    </w:p>
    <w:p>
      <w:bookmarkStart w:id="0" w:name="componenten-implementatieview"/>
      <w:pPr>
        <w:pStyle w:val="Kop2"/>
      </w:pPr>
      <w:r>
        <w:t>Componenten – Implementatieview</w:t>
      </w:r>
      <w:bookmarkEnd w:id="0" w:name="componenten-implementatieview"/>
    </w:p>
    <w:p>
      <w:bookmarkStart w:id="0" w:name="security-view"/>
      <w:pPr>
        <w:pStyle w:val="Kop1"/>
      </w:pPr>
      <w:r>
        <w:t>Security view</w:t>
      </w:r>
      <w:bookmarkEnd w:id="0" w:name="security-view"/>
    </w:p>
    <w:p>
      <w:bookmarkStart w:id="0" w:name="inleiding"/>
      <w:pPr>
        <w:pStyle w:val="Kop2"/>
      </w:pPr>
      <w:r>
        <w:t>Inleiding</w:t>
      </w:r>
      <w:bookmarkEnd w:id="0" w:name="inleiding"/>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bookmarkStart w:id="0" w:name="gegevensbeveiliging-tijdens-transport"/>
      <w:pPr>
        <w:pStyle w:val="Kop2"/>
      </w:pPr>
      <w:r>
        <w:t>Gegevensbeveiliging tijdens transport</w:t>
      </w:r>
      <w:bookmarkEnd w:id="0" w:name="gegevensbeveiliging-tijdens-transport"/>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gegevensbeveiliging-opgeslagen-gegevens"/>
      <w:pPr>
        <w:pStyle w:val="Kop2"/>
      </w:pPr>
      <w:r>
        <w:t>Gegevensbeveiliging opgeslagen gegevens</w:t>
      </w:r>
      <w:bookmarkEnd w:id="0" w:name="gegevensbeveiliging-opgeslagen-gegevens"/>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authenticatie-en-autorisatie"/>
      <w:pPr>
        <w:pStyle w:val="Kop2"/>
      </w:pPr>
      <w:r>
        <w:t>Authenticatie en autorisatie</w:t>
      </w:r>
      <w:bookmarkEnd w:id="0" w:name="authenticatie-en-autorisatie"/>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auditing-en-accounting"/>
      <w:pPr>
        <w:pStyle w:val="Kop2"/>
      </w:pPr>
      <w:r>
        <w:t>Auditing en accounting</w:t>
      </w:r>
      <w:bookmarkEnd w:id="0" w:name="auditing-en-account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richtlijnen"/>
      <w:pPr>
        <w:pStyle w:val="Kop2"/>
      </w:pPr>
      <w:r>
        <w:t>Richtlijnen</w:t>
      </w:r>
      <w:bookmarkEnd w:id="0" w:name="richtlijnen"/>
    </w:p>
    <w:p>
      <w:r>
        <w:t>Bij de ontwikkeling van de programmatuur worden de volgende richtlijnen in acht genomen:</w:t>
      </w:r>
    </w:p>
    <w:p>
      <w:pPr>
        <w:pStyle w:val="Lijstopsomteken1"/>
        <w:numPr>
          <w:ilvl w:val="0"/>
        </w:numPr>
      </w:pPr>
      <w:hyperlink r:id="rId28">
        <w:r>
          <w:rPr>
            <w:rStyle w:val="Hyperlink"/>
          </w:rPr>
          <w:t>OWASP Top-10</w:t>
        </w:r>
      </w:hyperlink>
      <w:r>
        <w:t>,</w:t>
      </w:r>
    </w:p>
    <w:p>
      <w:pPr>
        <w:pStyle w:val="Lijstopsomteken1"/>
        <w:numPr>
          <w:ilvl w:val="0"/>
        </w:numPr>
      </w:pPr>
      <w:hyperlink r:id="rId29">
        <w:r>
          <w:rPr>
            <w:rStyle w:val="Hyperlink"/>
          </w:rPr>
          <w:t>NCSC ICT-beveiligingsrichtlijnen voor webapplicaties</w:t>
        </w:r>
      </w:hyperlink>
      <w:r>
        <w:t>.</w:t>
      </w:r>
    </w:p>
    <w:p>
      <w:pPr>
        <w:pStyle w:val="Lijstopsomteken1"/>
        <w:numPr>
          <w:ilvl w:val="0"/>
        </w:numPr>
      </w:pPr>
      <w:hyperlink r:id="rId30">
        <w:r>
          <w:rPr>
            <w:rStyle w:val="Hyperlink"/>
          </w:rPr>
          <w:t>Baseline Informatiebeveiliging Overheid (BIO)</w:t>
        </w:r>
      </w:hyperlink>
      <w:r>
        <w:t>.</w:t>
      </w:r>
    </w:p>
    <w:p>
      <w:pPr>
        <w:pStyle w:val="Lijstopsomteken1"/>
        <w:numPr>
          <w:ilvl w:val="0"/>
        </w:numPr>
      </w:pPr>
      <w:hyperlink r:id="rId31">
        <w:r>
          <w:rPr>
            <w:rStyle w:val="Hyperlink"/>
          </w:rPr>
          <w:t>Software Development (SSD) van het Centrum Informatiebeveiliging en Privacybescherming</w:t>
        </w:r>
      </w:hyperlink>
    </w:p>
    <w:p>
      <w:bookmarkStart w:id="0" w:name="overzicht-van-gebruikte-certificaten"/>
      <w:pPr>
        <w:pStyle w:val="Kop2"/>
      </w:pPr>
      <w:r>
        <w:t>Overzicht van gebruikte certificaten</w:t>
      </w:r>
      <w:bookmarkEnd w:id="0" w:name="overzicht-van-gebruikte-certificaten"/>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bookmarkStart w:id="0" w:name="performance-view"/>
      <w:pPr>
        <w:pStyle w:val="Kop1"/>
      </w:pPr>
      <w:r>
        <w:t>Performance view</w:t>
      </w:r>
      <w:bookmarkEnd w:id="0" w:name="performance-view"/>
    </w:p>
    <w:p>
      <w:bookmarkStart w:id="0" w:name="inleiding"/>
      <w:pPr>
        <w:pStyle w:val="Kop2"/>
      </w:pPr>
      <w:r>
        <w:t>Inleiding</w:t>
      </w:r>
      <w:bookmarkEnd w:id="0" w:name="inleiding"/>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bookmarkStart w:id="0" w:name="belasting"/>
      <w:pPr>
        <w:pStyle w:val="Kop2"/>
      </w:pPr>
      <w:r>
        <w:t>Belasting</w:t>
      </w:r>
      <w:bookmarkEnd w:id="0" w:name="belasting"/>
    </w:p>
    <w:p>
      <w:r>
        <w:rPr>
          <w:color w:val="000000"/>
          <w:highlight w:val="yellow"/>
        </w:rPr>
        <w:t>{Beschrijf of verwijs naar de verwachte belasting van het systeem: aantallen gebruikers, aantallen transacties, hoeveelheden te bewaren data, etc.}</w:t>
      </w:r>
    </w:p>
    <w:p>
      <w:bookmarkStart w:id="0" w:name="snelheid-time-behavior"/>
      <w:pPr>
        <w:pStyle w:val="Kop2"/>
      </w:pPr>
      <w:r>
        <w:t>Snelheid (time behavior)</w:t>
      </w:r>
      <w:bookmarkEnd w:id="0" w:name="snelheid-time-behavior"/>
    </w:p>
    <w:p>
      <w:r>
        <w:rPr>
          <w:color w:val="000000"/>
          <w:highlight w:val="yellow"/>
        </w:rPr>
        <w:t>{Beschrijf hoe de applicatie de gewenste response tijden en throughput gaat realiseren}</w:t>
      </w:r>
    </w:p>
    <w:p>
      <w:bookmarkStart w:id="0" w:name="middelen-beslag-resource-utilization"/>
      <w:pPr>
        <w:pStyle w:val="Kop2"/>
      </w:pPr>
      <w:r>
        <w:t>Middelen beslag (resource utilization)</w:t>
      </w:r>
      <w:bookmarkEnd w:id="0" w:name="middelen-beslag-resource-utilization"/>
    </w:p>
    <w:p>
      <w:r>
        <w:rPr>
          <w:color w:val="000000"/>
          <w:highlight w:val="yellow"/>
        </w:rPr>
        <w:t>{Beschrijf welke en hoeveel middelen (denk aan storage, bandbreedte, rekencapaciteit) nodig zijn voor de vereiste performance}</w:t>
      </w:r>
    </w:p>
    <w:p>
      <w:bookmarkStart w:id="0" w:name="schaalbaarheid"/>
      <w:pPr>
        <w:pStyle w:val="Kop2"/>
      </w:pPr>
      <w:r>
        <w:t>Schaalbaarheid</w:t>
      </w:r>
      <w:bookmarkEnd w:id="0" w:name="schaalbaarheid"/>
    </w:p>
    <w:p>
      <w:r>
        <w:rPr>
          <w:color w:val="000000"/>
          <w:highlight w:val="yellow"/>
        </w:rPr>
        <w:t>{Beschrijf hoe de applicatie horizontaal danwel verticaal schaalbaar is}</w:t>
      </w:r>
    </w:p>
    <w:p>
      <w:bookmarkStart w:id="0" w:name="overige-architectureel-significante-niet"/>
      <w:pPr>
        <w:pStyle w:val="Kop1"/>
      </w:pPr>
      <w:r>
        <w:t>Overige architectureel-significante niet-functionele eigenschappen</w:t>
      </w:r>
      <w:bookmarkEnd w:id="0" w:name="overige-architectureel-significante-niet"/>
    </w:p>
    <w:p>
      <w:r>
        <w:rPr>
          <w:color w:val="000000"/>
          <w:highlight w:val="yellow"/>
        </w:rPr>
        <w:t>{Voeg indien nodig hoofdstukken toe voor andere architectuureel-significante niet-functionele eigenschappen van de applicatie}</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0">
              <w:r>
                <w:rPr>
                  <w:rStyle w:val="Hyperlink"/>
                </w:rPr>
                <w:t>BIO</w:t>
              </w:r>
            </w:hyperlink>
          </w:p>
        </w:tc>
        <w:tc>
          <w:tcPr>
            <w:tcW w:type="auto" w:w="4535"/>
          </w:tcPr>
          <w:p>
            <w:pPr>
              <w:jc w:val="left"/>
            </w:pPr>
            <w:r>
              <w:t>Baseline Informatiebeveiliging Overheid.</w:t>
            </w:r>
          </w:p>
        </w:tc>
      </w:tr>
      <w:tr>
        <w:tc>
          <w:tcPr>
            <w:tcW w:type="auto" w:w="4535"/>
          </w:tcPr>
          <w:p>
            <w:pPr>
              <w:jc w:val="left"/>
            </w:pPr>
            <w:hyperlink r:id="rId32">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6">
              <w:r>
                <w:rPr>
                  <w:rStyle w:val="Hyperlink"/>
                </w:rPr>
                <w:t>NEN 7510-2:2024</w:t>
              </w:r>
            </w:hyperlink>
          </w:p>
        </w:tc>
        <w:tc>
          <w:tcPr>
            <w:tcW w:type="auto" w:w="4535"/>
          </w:tcPr>
          <w:p>
            <w:pPr>
              <w:jc w:val="left"/>
            </w:pPr>
          </w:p>
        </w:tc>
      </w:tr>
      <w:tr>
        <w:tc>
          <w:tcPr>
            <w:tcW w:type="auto" w:w="4535"/>
          </w:tcPr>
          <w:p>
            <w:pPr>
              <w:jc w:val="left"/>
            </w:pPr>
            <w:hyperlink r:id="rId3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0">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1">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2">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3">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ontwerpbeslissingen" TargetMode="External"/><Relationship Id="rId17" Type="http://schemas.openxmlformats.org/officeDocument/2006/relationships/hyperlink" Target="#applicatiecontext" TargetMode="External"/><Relationship Id="rId18" Type="http://schemas.openxmlformats.org/officeDocument/2006/relationships/hyperlink" Target="#applicatiearchitectuur" TargetMode="External"/><Relationship Id="rId19" Type="http://schemas.openxmlformats.org/officeDocument/2006/relationships/hyperlink" Target="#informatiearchitectuur" TargetMode="External"/><Relationship Id="rId20" Type="http://schemas.openxmlformats.org/officeDocument/2006/relationships/hyperlink" Target="#deployment-view" TargetMode="External"/><Relationship Id="rId21" Type="http://schemas.openxmlformats.org/officeDocument/2006/relationships/hyperlink" Target="#implementatieview" TargetMode="External"/><Relationship Id="rId22" Type="http://schemas.openxmlformats.org/officeDocument/2006/relationships/hyperlink" Target="#security-view" TargetMode="External"/><Relationship Id="rId23" Type="http://schemas.openxmlformats.org/officeDocument/2006/relationships/hyperlink" Target="#performance-view" TargetMode="External"/><Relationship Id="rId24" Type="http://schemas.openxmlformats.org/officeDocument/2006/relationships/hyperlink" Target="#overige-architectureel-significante-niet" TargetMode="External"/><Relationship Id="rId25" Type="http://schemas.openxmlformats.org/officeDocument/2006/relationships/hyperlink" Target="#terminologie-en-afkortingen" TargetMode="External"/><Relationship Id="rId26" Type="http://schemas.openxmlformats.org/officeDocument/2006/relationships/hyperlink" Target="#bronnen" TargetMode="External"/><Relationship Id="rId27" Type="http://schemas.openxmlformats.org/officeDocument/2006/relationships/hyperlink" Target="#de-ictu-kwaliteitsaanpak-softwareontwikk" TargetMode="External"/><Relationship Id="rId28" Type="http://schemas.openxmlformats.org/officeDocument/2006/relationships/hyperlink" Target="https://owasp.org/www-project-top-ten/" TargetMode="External"/><Relationship Id="rId29" Type="http://schemas.openxmlformats.org/officeDocument/2006/relationships/hyperlink" Target="https://www.ncsc.nl/documenten/publicaties/2019/mei/01/ict-beveiligingsrichtlijnen-voor-webapplicaties" TargetMode="External"/><Relationship Id="rId30" Type="http://schemas.openxmlformats.org/officeDocument/2006/relationships/hyperlink" Target="https://www.bio-overheid.nl/media/dr4inbhc/20260109-baseline-informatiebeveiliging-overheid-2-bio2-v13-def.pdf" TargetMode="External"/><Relationship Id="rId31" Type="http://schemas.openxmlformats.org/officeDocument/2006/relationships/hyperlink" Target="https://www.cip-overheid.nl/media/k5wocp15/grip-op-ssd-het-proces-v20.pdf" TargetMode="External"/><Relationship Id="rId32" Type="http://schemas.openxmlformats.org/officeDocument/2006/relationships/hyperlink" Target="https://www.iso.org/standard/77520.html" TargetMode="External"/><Relationship Id="rId33" Type="http://schemas.openxmlformats.org/officeDocument/2006/relationships/hyperlink" Target="https://www.nen.nl/nen-iso-iec-25010-2023-en-318088" TargetMode="External"/><Relationship Id="rId34" Type="http://schemas.openxmlformats.org/officeDocument/2006/relationships/hyperlink" Target="https://www.nen.nl/nen-en-iso-iec-27001-2023-nl-314206" TargetMode="External"/><Relationship Id="rId35" Type="http://schemas.openxmlformats.org/officeDocument/2006/relationships/hyperlink" Target="https://www.nen.nl/nen-en-iso-iec-27002-2022-nl-304509" TargetMode="External"/><Relationship Id="rId36" Type="http://schemas.openxmlformats.org/officeDocument/2006/relationships/hyperlink" Target="https://www.nen.nl/nen-7510-2-2024-nl-331314" TargetMode="External"/><Relationship Id="rId37" Type="http://schemas.openxmlformats.org/officeDocument/2006/relationships/hyperlink" Target="https://www.nen.nl/npr-5325-2017-nl-238298" TargetMode="External"/><Relationship Id="rId38" Type="http://schemas.openxmlformats.org/officeDocument/2006/relationships/hyperlink" Target="https://www.nen.nl/npr-5326-2019-nl-262885" TargetMode="External"/><Relationship Id="rId39" Type="http://schemas.openxmlformats.org/officeDocument/2006/relationships/hyperlink" Target="https://www.noraonline.nl" TargetMode="External"/><Relationship Id="rId40" Type="http://schemas.openxmlformats.org/officeDocument/2006/relationships/hyperlink" Target="https://scrumguides.org/docs/scrumguide/v2020/2020-Scrum-Guide-Dutch.pdf" TargetMode="External"/><Relationship Id="rId41" Type="http://schemas.openxmlformats.org/officeDocument/2006/relationships/hyperlink" Target="https://wetten.overheid.nl/BWBR0022141/2007-07-01" TargetMode="External"/><Relationship Id="rId42" Type="http://schemas.openxmlformats.org/officeDocument/2006/relationships/hyperlink" Target="https://wetten.overheid.nl/BWBR0051482/2025-09-09/" TargetMode="External"/><Relationship Id="rId43" Type="http://schemas.openxmlformats.org/officeDocument/2006/relationships/hyperlink" Target="https://wetten.overheid.nl/BWBR0041515/2024-10-01/" TargetMode="External"/><Relationship Id="rId44" Type="http://schemas.openxmlformats.org/officeDocument/2006/relationships/hyperlink" Target="https://www.tweedekamer.nl/sites/default/files/field_uploads/33326-5-Eindrapport_tcm181-239826.pdf" TargetMode="External"/><Relationship Id="rId45" Type="http://schemas.openxmlformats.org/officeDocument/2006/relationships/hyperlink" Target="https://www.ictu.nl/kwaliteitsaanpak" TargetMode="External"/><Relationship Id="rId46" Type="http://schemas.openxmlformats.org/officeDocument/2006/relationships/hyperlink" Target="https://ictu.github.io/Kwaliteitsaanpak/wip/ICTU-Kwaliteitsaanpak-Wijzigingsgeschiedenis.html" TargetMode="External"/><Relationship Id="rId47"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