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zie hiervoor het hoofdstuk "Werkwijze".</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Privacy impact assessment (PIA), versie </w:t>
      </w:r>
      <w:r>
        <w:rPr>
          <w:color w:val="000000"/>
          <w:highlight w:val="yellow"/>
        </w:rPr>
        <w:t>{versie}</w:t>
      </w:r>
      <w:r>
        <w:t>,</w:t>
      </w:r>
    </w:p>
    <w:p>
      <w:pPr>
        <w:pStyle w:val="Lijstopsomteken1"/>
        <w:numPr>
          <w:ilvl w:val="0"/>
        </w:numPr>
      </w:pPr>
      <w:r>
        <w:t xml:space="preserve">Softwarearchitectuurdocument (SAD), versie </w:t>
      </w:r>
      <w:r>
        <w:rPr>
          <w:color w:val="000000"/>
          <w:highlight w:val="yellow"/>
        </w:rPr>
        <w:t>{versie}</w:t>
      </w:r>
      <w:r>
        <w:t>,</w:t>
      </w:r>
    </w:p>
    <w:p>
      <w:pPr>
        <w:pStyle w:val="Lijstopsomteken1"/>
        <w:numPr>
          <w:ilvl w:val="0"/>
        </w:numPr>
      </w:pPr>
      <w:r>
        <w:t xml:space="preserve">Infrastructuurarchitectuur (IA), versie </w:t>
      </w:r>
      <w:r>
        <w:rPr>
          <w:color w:val="000000"/>
          <w:highlight w:val="yellow"/>
        </w:rPr>
        <w:t>{versie}</w:t>
      </w:r>
      <w:r>
        <w:t>,</w:t>
      </w:r>
    </w:p>
    <w:p>
      <w:pPr>
        <w:pStyle w:val="Lijstopsomteken1"/>
        <w:numPr>
          <w:ilvl w:val="0"/>
        </w:numPr>
      </w:pPr>
      <w:r>
        <w:t xml:space="preserve">Mastertestplan, versie </w:t>
      </w:r>
      <w:r>
        <w:rPr>
          <w:color w:val="000000"/>
          <w:highlight w:val="yellow"/>
        </w:rPr>
        <w:t>{versie}</w:t>
      </w:r>
      <w:r>
        <w:t>,</w:t>
      </w:r>
    </w:p>
    <w:p>
      <w:pPr>
        <w:pStyle w:val="Lijstopsomteken1"/>
        <w:numPr>
          <w:ilvl w:val="0"/>
        </w:numPr>
      </w:pPr>
      <w:r>
        <w:t xml:space="preserve">Detailtestplan softwarerealisatie, versie </w:t>
      </w:r>
      <w:r>
        <w:rPr>
          <w:color w:val="000000"/>
          <w:highlight w:val="yellow"/>
        </w:rPr>
        <w:t>{versie}</w:t>
      </w:r>
      <w:r>
        <w:t>,</w:t>
      </w:r>
    </w:p>
    <w:p>
      <w:pPr>
        <w:pStyle w:val="Lijstopsomteken1"/>
        <w:numPr>
          <w:ilvl w:val="0"/>
        </w:numPr>
      </w:pPr>
      <w:r>
        <w:t xml:space="preserve">Informatiebeveiligingsplan (IB-plan), versie </w:t>
      </w:r>
      <w:r>
        <w:rPr>
          <w:color w:val="000000"/>
          <w:highlight w:val="yellow"/>
        </w:rPr>
        <w:t>{versie}</w:t>
      </w:r>
      <w:r>
        <w:t>,</w:t>
      </w:r>
    </w:p>
    <w:p>
      <w:pPr>
        <w:pStyle w:val="Lijstopsomteken1"/>
        <w:numPr>
          <w:ilvl w:val="0"/>
        </w:numPr>
      </w:pPr>
      <w:r>
        <w:t xml:space="preserve">Kwaliteitsplan, versie </w:t>
      </w:r>
      <w:r>
        <w:rPr>
          <w:color w:val="000000"/>
          <w:highlight w:val="yellow"/>
        </w:rPr>
        <w:t>{versie}</w:t>
      </w:r>
      <w:r>
        <w:t>,</w:t>
      </w:r>
    </w:p>
    <w:p>
      <w:pPr>
        <w:pStyle w:val="Lijstopsomteken1"/>
        <w:numPr>
          <w:ilvl w:val="0"/>
        </w:numPr>
      </w:pPr>
      <w:r>
        <w:t xml:space="preserve">Niet-functionele eisen (NFE), versie </w:t>
      </w:r>
      <w:r>
        <w:rPr>
          <w:color w:val="000000"/>
          <w:highlight w:val="yellow"/>
        </w:rPr>
        <w:t>{versie}</w:t>
      </w:r>
      <w:r>
        <w:t>,</w:t>
      </w:r>
    </w:p>
    <w:p>
      <w:pPr>
        <w:pStyle w:val="Lijstopsomteken1"/>
        <w:numPr>
          <w:ilvl w:val="0"/>
        </w:numPr>
      </w:pPr>
      <w:r>
        <w:t xml:space="preserve">Globaal functioneel ontwerp (GFO), versie </w:t>
      </w:r>
      <w:r>
        <w:rPr>
          <w:color w:val="000000"/>
          <w:highlight w:val="yellow"/>
        </w:rPr>
        <w:t>{versie}</w:t>
      </w:r>
      <w:r>
        <w:t>,</w:t>
      </w:r>
    </w:p>
    <w:p>
      <w:pPr>
        <w:pStyle w:val="Lijstopsomteken1"/>
        <w:numPr>
          <w:ilvl w:val="0"/>
        </w:numPr>
      </w:pPr>
      <w:r>
        <w:t xml:space="preserve">Interactie-ontwerp (UX), versie </w:t>
      </w:r>
      <w:r>
        <w:rPr>
          <w:color w:val="000000"/>
          <w:highlight w:val="yellow"/>
        </w:rPr>
        <w:t>{versie}</w:t>
      </w:r>
      <w:r>
        <w:t>,</w:t>
      </w:r>
    </w:p>
    <w:p>
      <w:pPr>
        <w:pStyle w:val="Lijstopsomteken1"/>
        <w:numPr>
          <w:ilvl w:val="0"/>
        </w:numPr>
      </w:pPr>
      <w:r>
        <w:t xml:space="preserve">Product backlog, versie </w:t>
      </w:r>
      <w:r>
        <w:rPr>
          <w:color w:val="000000"/>
          <w:highlight w:val="yellow"/>
        </w:rPr>
        <w:t>{versie}</w:t>
      </w:r>
      <w:r>
        <w:t>,</w:t>
      </w:r>
    </w:p>
    <w:p>
      <w:pPr>
        <w:pStyle w:val="Lijstopsomteken1"/>
        <w:numPr>
          <w:ilvl w:val="0"/>
        </w:numPr>
      </w:pPr>
      <w:r>
        <w:t xml:space="preserve">Vastgesteld minimal viable product, versie </w:t>
      </w:r>
      <w:r>
        <w:rPr>
          <w:color w:val="000000"/>
          <w:highlight w:val="yellow"/>
        </w:rPr>
        <w:t>{versie}</w:t>
      </w:r>
      <w:r>
        <w:t>,</w:t>
      </w:r>
    </w:p>
    <w:p>
      <w:pPr>
        <w:pStyle w:val="Lijstopsomteken1"/>
        <w:numPr>
          <w:ilvl w:val="0"/>
        </w:numPr>
      </w:pPr>
      <w:r>
        <w:t xml:space="preserve">Wireframe, mockup, prototype, animatie, versie </w:t>
      </w:r>
      <w:r>
        <w:rPr>
          <w:color w:val="000000"/>
          <w:highlight w:val="yellow"/>
        </w:rPr>
        <w:t>{versie}</w:t>
      </w:r>
      <w:r>
        <w:t>,</w:t>
      </w:r>
    </w:p>
    <w:p>
      <w:pPr>
        <w:pStyle w:val="Lijstopsomteken1"/>
        <w:numPr>
          <w:ilvl w:val="0"/>
        </w:numPr>
      </w:pPr>
      <w:r>
        <w:t xml:space="preserve">Tussentijdse rapportage t.b.v. go/no-go besluit, versie </w:t>
      </w:r>
      <w:r>
        <w:rPr>
          <w:color w:val="000000"/>
          <w:highlight w:val="yellow"/>
        </w:rPr>
        <w:t>{versie}</w:t>
      </w:r>
      <w:r>
        <w:t>.</w:t>
      </w:r>
    </w:p>
    <w:p>
      <w:r>
        <w:rPr>
          <w:color w:val="000000"/>
          <w:highlight w:val="yellow"/>
        </w:rPr>
        <w:t>{Beschrijf ook een eventuele relatie met andere documenten die niet afkomstig zijn uit de voorfase}</w:t>
      </w:r>
    </w:p>
    <w:p>
      <w:pPr>
        <w:pStyle w:val="Kop2"/>
      </w:pPr>
      <w:r>
        <w:t>Leeswijzer</w:t>
      </w:r>
    </w:p>
    <w:p>
      <w:r>
        <w:t xml:space="preserve">Hoofdstuk 2 beschrijft de in de realisatiefase op te leveren producten. In hoofdstuk 3 staat de werkwijze voor de realisatie van de software. Hoofdstuk 4 beschrijft de planning en doorlooptijd van het project. Hoofdstuk 5 geeft de randvoorwaarden die ingevuld dienen te zijn bij de start van realisatiefase. Hoofdstuk 6 beschrijft de bekende projectrisico's en de getroffen tegenmaatregelen. Hoofdstuk 7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en ZAP by Checkmarx),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pPr>
        <w:pStyle w:val="Kop2"/>
      </w:pPr>
      <w:r>
        <w:t>Werving</w:t>
      </w:r>
    </w:p>
    <w:p>
      <w:r>
        <w:t xml:space="preserve">Direct na de opdrachtverstrekking start ICTU met de bemensing van het project ten behoeve van de realisatiefase. </w:t>
      </w:r>
      <w:r>
        <w:rPr>
          <w:color w:val="000000"/>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software</w:t>
      </w:r>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color w:val="000000"/>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