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Kop2"/>
      </w:pPr>
      <w:r>
        <w:t>Leeswijzer</w:t>
      </w:r>
    </w:p>
    <w:p>
      <w:r>
        <w:t xml:space="preserve">Hoofdstuk 2 beschrijft de in de voorfase op te leveren producten. In hoofdstuk 3 staat de werkwijze voor de voorfase. Hoofdstuk 4 beschrijft de planning en doorlooptijd van het project. Hoofdstuk 5 geeft de randvoorwaarden die ingevuld dienen te zijn bij de start van voorfase.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Privacy impact assessment (PIA)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Geprioriteerde backlog met user stories</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Verwachte inzet inhoudsdeskundigen</w:t>
      </w:r>
    </w:p>
    <w:p>
      <w:r>
        <w:t xml:space="preserve">Betrokkenheid van inhoudsdeskundigen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Verwachtingen over dit project tussen verschillende partijen (</w:t>
            </w:r>
            <w:r>
              <w:rPr>
                <w:color w:val="000000"/>
                <w:highlight w:val="yellow"/>
              </w:rPr>
              <w:t>{partijen}</w:t>
            </w:r>
            <w:r>
              <w:t>, ICTU) kunnen niet waargemaakt worden, waardoor vertraging ontstaat</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Scope-uitbreiding, gebrek aan focus</w:t>
            </w:r>
          </w:p>
        </w:tc>
        <w:tc>
          <w:tcPr>
            <w:tcW w:type="auto" w:w="4535"/>
          </w:tcPr>
          <w:p>
            <w:pPr>
              <w:jc w:val="left"/>
            </w:pPr>
            <w:r>
              <w:t xml:space="preserve">Scope voorfase bewaken, alleen de scope uitbreiden als dit noodzakelijk is voor </w:t>
            </w:r>
            <w:r>
              <w:rPr>
                <w:color w:val="000000"/>
                <w:highlight w:val="yellow"/>
              </w:rPr>
              <w:t>{doel}</w:t>
            </w:r>
          </w:p>
        </w:tc>
      </w:tr>
      <w:tr>
        <w:tc>
          <w:tcPr>
            <w:tcW w:type="auto" w:w="4535"/>
          </w:tcPr>
          <w:p>
            <w:pPr>
              <w:jc w:val="left"/>
            </w:pPr>
            <w:r>
              <w:t>Onvoldoende bemensing door vakanties</w:t>
            </w:r>
          </w:p>
        </w:tc>
        <w:tc>
          <w:tcPr>
            <w:tcW w:type="auto" w:w="4535"/>
          </w:tcPr>
          <w:p>
            <w:pPr>
              <w:jc w:val="left"/>
            </w:pPr>
            <w:r>
              <w:t>Rekening houden met langere doorlooptijd dan de (te) eenvoudige rekensom suggereert.</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 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3">
              <w:r>
                <w:rPr>
                  <w:rStyle w:val="Hyperlink"/>
                </w:rPr>
                <w:t>NEN 7510:2017</w:t>
              </w:r>
            </w:hyperlink>
          </w:p>
        </w:tc>
        <w:tc>
          <w:tcPr>
            <w:tcW w:type="auto" w:w="4535"/>
          </w:tcPr>
          <w:p>
            <w:pPr>
              <w:jc w:val="left"/>
            </w:pPr>
            <w:r>
              <w:t>Informatiebeveiliging in de zorg.</w:t>
            </w: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11-en-157265" TargetMode="External"/><Relationship Id="rId21" Type="http://schemas.openxmlformats.org/officeDocument/2006/relationships/hyperlink" Target="https://www.nen.nl/nen-en-iso-iec-27001-2017-a11-2020-nl-265545" TargetMode="External"/><Relationship Id="rId22" Type="http://schemas.openxmlformats.org/officeDocument/2006/relationships/hyperlink" Target="https://www.nen.nl/nen-en-iso-iec-27002-2017-nl-245390" TargetMode="External"/><Relationship Id="rId23" Type="http://schemas.openxmlformats.org/officeDocument/2006/relationships/hyperlink" Target="https://www.nen.nl/nen-7510-1-2017-a1-2020-nl-267179"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0-07-15"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